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74" w:rsidRDefault="00950078" w:rsidP="0069320E">
      <w:pPr>
        <w:jc w:val="both"/>
        <w:rPr>
          <w:sz w:val="22"/>
        </w:rPr>
      </w:pPr>
      <w:r>
        <w:rPr>
          <w:sz w:val="22"/>
        </w:rPr>
        <w:t xml:space="preserve">The Department is seeking and anticipates receiving </w:t>
      </w:r>
      <w:r w:rsidR="00BC3320">
        <w:rPr>
          <w:sz w:val="22"/>
        </w:rPr>
        <w:t xml:space="preserve">the </w:t>
      </w:r>
      <w:r>
        <w:rPr>
          <w:sz w:val="22"/>
        </w:rPr>
        <w:t>Centers for Medicare and Medicaid Services</w:t>
      </w:r>
      <w:r w:rsidR="00BC3320">
        <w:rPr>
          <w:sz w:val="22"/>
        </w:rPr>
        <w:t>’</w:t>
      </w:r>
      <w:r>
        <w:rPr>
          <w:sz w:val="22"/>
        </w:rPr>
        <w:t xml:space="preserve"> (CMS) approval for this section. Pending approval</w:t>
      </w:r>
      <w:r w:rsidR="00C26EC8">
        <w:rPr>
          <w:sz w:val="22"/>
        </w:rPr>
        <w:t>,</w:t>
      </w:r>
      <w:r>
        <w:rPr>
          <w:sz w:val="22"/>
        </w:rPr>
        <w:t xml:space="preserve"> the rates will be </w:t>
      </w:r>
      <w:r w:rsidR="00C26EC8">
        <w:rPr>
          <w:sz w:val="22"/>
        </w:rPr>
        <w:t xml:space="preserve">effective </w:t>
      </w:r>
      <w:r>
        <w:rPr>
          <w:sz w:val="22"/>
        </w:rPr>
        <w:t>as follows:</w:t>
      </w:r>
    </w:p>
    <w:p w:rsidR="00394374" w:rsidRDefault="00394374">
      <w:pPr>
        <w:rPr>
          <w:sz w:val="22"/>
        </w:rPr>
      </w:pPr>
    </w:p>
    <w:tbl>
      <w:tblPr>
        <w:tblW w:w="14040" w:type="dxa"/>
        <w:tblInd w:w="-702" w:type="dxa"/>
        <w:tblLayout w:type="fixed"/>
        <w:tblLook w:val="0000" w:firstRow="0" w:lastRow="0" w:firstColumn="0" w:lastColumn="0" w:noHBand="0" w:noVBand="0"/>
      </w:tblPr>
      <w:tblGrid>
        <w:gridCol w:w="1170"/>
        <w:gridCol w:w="2070"/>
        <w:gridCol w:w="3600"/>
        <w:gridCol w:w="1800"/>
        <w:gridCol w:w="1800"/>
        <w:gridCol w:w="1890"/>
        <w:gridCol w:w="1710"/>
      </w:tblGrid>
      <w:tr w:rsidR="004E1F3E" w:rsidTr="00700150">
        <w:trPr>
          <w:cantSplit/>
          <w:trHeight w:val="411"/>
        </w:trPr>
        <w:tc>
          <w:tcPr>
            <w:tcW w:w="1170" w:type="dxa"/>
            <w:tcBorders>
              <w:right w:val="single" w:sz="4" w:space="0" w:color="auto"/>
            </w:tcBorders>
            <w:vAlign w:val="center"/>
          </w:tcPr>
          <w:p w:rsidR="004E1F3E" w:rsidRDefault="004E1F3E">
            <w:pPr>
              <w:rPr>
                <w:sz w:val="22"/>
              </w:rPr>
            </w:pPr>
          </w:p>
        </w:tc>
        <w:tc>
          <w:tcPr>
            <w:tcW w:w="2070" w:type="dxa"/>
            <w:tcBorders>
              <w:top w:val="single" w:sz="4" w:space="0" w:color="auto"/>
              <w:left w:val="single" w:sz="4" w:space="0" w:color="auto"/>
              <w:bottom w:val="single" w:sz="6" w:space="0" w:color="auto"/>
              <w:right w:val="single" w:sz="4" w:space="0" w:color="auto"/>
            </w:tcBorders>
            <w:vAlign w:val="center"/>
          </w:tcPr>
          <w:p w:rsidR="004E1F3E" w:rsidRDefault="004E1F3E">
            <w:pPr>
              <w:rPr>
                <w:sz w:val="22"/>
              </w:rPr>
            </w:pPr>
            <w:r>
              <w:rPr>
                <w:sz w:val="22"/>
              </w:rPr>
              <w:t>PROC.</w:t>
            </w:r>
          </w:p>
          <w:p w:rsidR="004E1F3E" w:rsidRDefault="004E1F3E">
            <w:pPr>
              <w:rPr>
                <w:sz w:val="22"/>
              </w:rPr>
            </w:pPr>
            <w:r>
              <w:rPr>
                <w:sz w:val="22"/>
              </w:rPr>
              <w:t>CODE</w:t>
            </w:r>
          </w:p>
        </w:tc>
        <w:tc>
          <w:tcPr>
            <w:tcW w:w="3600" w:type="dxa"/>
            <w:tcBorders>
              <w:top w:val="single" w:sz="6" w:space="0" w:color="auto"/>
              <w:left w:val="single" w:sz="4" w:space="0" w:color="auto"/>
              <w:bottom w:val="single" w:sz="6" w:space="0" w:color="auto"/>
              <w:right w:val="single" w:sz="6" w:space="0" w:color="auto"/>
            </w:tcBorders>
            <w:vAlign w:val="center"/>
          </w:tcPr>
          <w:p w:rsidR="004E1F3E" w:rsidRDefault="004E1F3E">
            <w:pPr>
              <w:rPr>
                <w:sz w:val="22"/>
              </w:rPr>
            </w:pPr>
          </w:p>
          <w:p w:rsidR="004E1F3E" w:rsidRDefault="004E1F3E">
            <w:pPr>
              <w:rPr>
                <w:sz w:val="22"/>
              </w:rPr>
            </w:pPr>
            <w:r>
              <w:rPr>
                <w:sz w:val="22"/>
              </w:rPr>
              <w:t>DESCRIPTION</w:t>
            </w:r>
          </w:p>
        </w:tc>
        <w:tc>
          <w:tcPr>
            <w:tcW w:w="1800" w:type="dxa"/>
            <w:tcBorders>
              <w:top w:val="single" w:sz="6" w:space="0" w:color="auto"/>
              <w:left w:val="single" w:sz="6" w:space="0" w:color="auto"/>
              <w:bottom w:val="single" w:sz="6" w:space="0" w:color="auto"/>
              <w:right w:val="single" w:sz="6" w:space="0" w:color="auto"/>
            </w:tcBorders>
            <w:vAlign w:val="center"/>
          </w:tcPr>
          <w:p w:rsidR="004E1F3E" w:rsidRDefault="004E1F3E" w:rsidP="00700150">
            <w:pPr>
              <w:jc w:val="center"/>
              <w:rPr>
                <w:sz w:val="22"/>
              </w:rPr>
            </w:pPr>
            <w:r>
              <w:rPr>
                <w:sz w:val="22"/>
              </w:rPr>
              <w:t>MAXIMUM</w:t>
            </w:r>
          </w:p>
          <w:p w:rsidR="004E1F3E" w:rsidRDefault="004E1F3E" w:rsidP="00700150">
            <w:pPr>
              <w:jc w:val="center"/>
              <w:rPr>
                <w:sz w:val="22"/>
              </w:rPr>
            </w:pPr>
            <w:r>
              <w:rPr>
                <w:sz w:val="22"/>
              </w:rPr>
              <w:t>ALLOWANCE</w:t>
            </w:r>
          </w:p>
          <w:p w:rsidR="004E1F3E" w:rsidRDefault="004E1F3E" w:rsidP="00700150">
            <w:pPr>
              <w:jc w:val="center"/>
              <w:rPr>
                <w:sz w:val="22"/>
              </w:rPr>
            </w:pPr>
            <w:r>
              <w:rPr>
                <w:sz w:val="22"/>
              </w:rPr>
              <w:t xml:space="preserve">Effective Prior to </w:t>
            </w:r>
            <w:r w:rsidR="006A61B2">
              <w:rPr>
                <w:sz w:val="22"/>
              </w:rPr>
              <w:t>8/1</w:t>
            </w:r>
            <w:r>
              <w:rPr>
                <w:sz w:val="22"/>
              </w:rPr>
              <w:t>/18</w:t>
            </w:r>
          </w:p>
        </w:tc>
        <w:tc>
          <w:tcPr>
            <w:tcW w:w="1800" w:type="dxa"/>
            <w:tcBorders>
              <w:top w:val="single" w:sz="6" w:space="0" w:color="auto"/>
              <w:left w:val="single" w:sz="6" w:space="0" w:color="auto"/>
              <w:bottom w:val="single" w:sz="6" w:space="0" w:color="auto"/>
              <w:right w:val="single" w:sz="6" w:space="0" w:color="auto"/>
            </w:tcBorders>
            <w:vAlign w:val="center"/>
          </w:tcPr>
          <w:p w:rsidR="004E1F3E" w:rsidRDefault="004E1F3E" w:rsidP="00700150">
            <w:pPr>
              <w:jc w:val="center"/>
              <w:rPr>
                <w:sz w:val="22"/>
              </w:rPr>
            </w:pPr>
            <w:r>
              <w:rPr>
                <w:sz w:val="22"/>
              </w:rPr>
              <w:t>MAXIMUM ALLOWANCE</w:t>
            </w:r>
          </w:p>
          <w:p w:rsidR="004E1F3E" w:rsidRDefault="004E1F3E" w:rsidP="00700150">
            <w:pPr>
              <w:jc w:val="center"/>
              <w:rPr>
                <w:sz w:val="22"/>
              </w:rPr>
            </w:pPr>
            <w:r>
              <w:rPr>
                <w:sz w:val="22"/>
              </w:rPr>
              <w:t>Effective 8/1/18</w:t>
            </w:r>
            <w:r w:rsidR="00040209">
              <w:rPr>
                <w:sz w:val="22"/>
              </w:rPr>
              <w:t xml:space="preserve"> to 6/30/19</w:t>
            </w:r>
          </w:p>
        </w:tc>
        <w:tc>
          <w:tcPr>
            <w:tcW w:w="1890" w:type="dxa"/>
            <w:tcBorders>
              <w:top w:val="single" w:sz="6" w:space="0" w:color="auto"/>
              <w:left w:val="single" w:sz="6" w:space="0" w:color="auto"/>
              <w:bottom w:val="single" w:sz="6" w:space="0" w:color="auto"/>
              <w:right w:val="single" w:sz="6" w:space="0" w:color="auto"/>
            </w:tcBorders>
            <w:vAlign w:val="center"/>
          </w:tcPr>
          <w:p w:rsidR="004E1F3E" w:rsidRDefault="004E1F3E" w:rsidP="00700150">
            <w:pPr>
              <w:jc w:val="center"/>
              <w:rPr>
                <w:sz w:val="22"/>
              </w:rPr>
            </w:pPr>
            <w:r>
              <w:rPr>
                <w:sz w:val="22"/>
              </w:rPr>
              <w:t>MAXIMUM ALLOWANCE</w:t>
            </w:r>
          </w:p>
          <w:p w:rsidR="004E1F3E" w:rsidRDefault="00040209" w:rsidP="00700150">
            <w:pPr>
              <w:jc w:val="center"/>
              <w:rPr>
                <w:sz w:val="22"/>
              </w:rPr>
            </w:pPr>
            <w:r>
              <w:rPr>
                <w:sz w:val="22"/>
              </w:rPr>
              <w:t>Effective 7/1/19</w:t>
            </w:r>
            <w:r w:rsidR="00BA7616">
              <w:rPr>
                <w:sz w:val="22"/>
              </w:rPr>
              <w:t>*</w:t>
            </w:r>
          </w:p>
        </w:tc>
        <w:tc>
          <w:tcPr>
            <w:tcW w:w="1710" w:type="dxa"/>
            <w:tcBorders>
              <w:top w:val="single" w:sz="6" w:space="0" w:color="auto"/>
              <w:left w:val="single" w:sz="6" w:space="0" w:color="auto"/>
              <w:bottom w:val="single" w:sz="6" w:space="0" w:color="auto"/>
              <w:right w:val="single" w:sz="6" w:space="0" w:color="auto"/>
            </w:tcBorders>
            <w:vAlign w:val="center"/>
          </w:tcPr>
          <w:p w:rsidR="004E1F3E" w:rsidRDefault="004E1F3E" w:rsidP="00700150">
            <w:pPr>
              <w:jc w:val="center"/>
              <w:rPr>
                <w:sz w:val="22"/>
                <w:u w:val="single"/>
              </w:rPr>
            </w:pPr>
            <w:r>
              <w:rPr>
                <w:sz w:val="22"/>
              </w:rPr>
              <w:t>REMARKS</w:t>
            </w:r>
          </w:p>
        </w:tc>
      </w:tr>
      <w:tr w:rsidR="004E1F3E" w:rsidTr="0069320E">
        <w:trPr>
          <w:cantSplit/>
          <w:trHeight w:val="215"/>
        </w:trPr>
        <w:tc>
          <w:tcPr>
            <w:tcW w:w="1170" w:type="dxa"/>
            <w:vMerge w:val="restart"/>
            <w:tcBorders>
              <w:left w:val="single" w:sz="4" w:space="0" w:color="auto"/>
              <w:right w:val="single" w:sz="4" w:space="0" w:color="auto"/>
            </w:tcBorders>
            <w:vAlign w:val="center"/>
          </w:tcPr>
          <w:p w:rsidR="004E1F3E" w:rsidRPr="0069320E" w:rsidRDefault="004E1F3E" w:rsidP="0098713C"/>
        </w:tc>
        <w:tc>
          <w:tcPr>
            <w:tcW w:w="2070" w:type="dxa"/>
            <w:tcBorders>
              <w:top w:val="single" w:sz="4" w:space="0" w:color="auto"/>
              <w:left w:val="single" w:sz="4" w:space="0" w:color="auto"/>
              <w:bottom w:val="single" w:sz="4" w:space="0" w:color="auto"/>
              <w:right w:val="single" w:sz="4" w:space="0" w:color="auto"/>
            </w:tcBorders>
            <w:vAlign w:val="center"/>
          </w:tcPr>
          <w:p w:rsidR="004E1F3E" w:rsidRDefault="004E1F3E">
            <w:pPr>
              <w:rPr>
                <w:sz w:val="22"/>
              </w:rPr>
            </w:pPr>
          </w:p>
        </w:tc>
        <w:tc>
          <w:tcPr>
            <w:tcW w:w="3600" w:type="dxa"/>
            <w:tcBorders>
              <w:top w:val="single" w:sz="6" w:space="0" w:color="auto"/>
              <w:left w:val="single" w:sz="4" w:space="0" w:color="auto"/>
              <w:bottom w:val="single" w:sz="6" w:space="0" w:color="auto"/>
              <w:right w:val="single" w:sz="6" w:space="0" w:color="auto"/>
            </w:tcBorders>
            <w:vAlign w:val="center"/>
          </w:tcPr>
          <w:p w:rsidR="004E1F3E" w:rsidRDefault="004E1F3E">
            <w:pPr>
              <w:rPr>
                <w:sz w:val="22"/>
              </w:rPr>
            </w:pPr>
          </w:p>
        </w:tc>
        <w:tc>
          <w:tcPr>
            <w:tcW w:w="1800" w:type="dxa"/>
            <w:tcBorders>
              <w:top w:val="single" w:sz="6" w:space="0" w:color="auto"/>
              <w:left w:val="single" w:sz="6" w:space="0" w:color="auto"/>
              <w:bottom w:val="single" w:sz="6" w:space="0" w:color="auto"/>
              <w:right w:val="single" w:sz="6" w:space="0" w:color="auto"/>
            </w:tcBorders>
            <w:vAlign w:val="center"/>
          </w:tcPr>
          <w:p w:rsidR="004E1F3E" w:rsidRDefault="004E1F3E">
            <w:pPr>
              <w:jc w:val="center"/>
              <w:rPr>
                <w:sz w:val="22"/>
              </w:rPr>
            </w:pPr>
          </w:p>
        </w:tc>
        <w:tc>
          <w:tcPr>
            <w:tcW w:w="1800" w:type="dxa"/>
            <w:tcBorders>
              <w:top w:val="single" w:sz="6" w:space="0" w:color="auto"/>
              <w:left w:val="single" w:sz="6" w:space="0" w:color="auto"/>
              <w:bottom w:val="single" w:sz="6" w:space="0" w:color="auto"/>
              <w:right w:val="single" w:sz="6" w:space="0" w:color="auto"/>
            </w:tcBorders>
          </w:tcPr>
          <w:p w:rsidR="004E1F3E" w:rsidRPr="0069320E" w:rsidRDefault="004E1F3E"/>
        </w:tc>
        <w:tc>
          <w:tcPr>
            <w:tcW w:w="1890" w:type="dxa"/>
            <w:tcBorders>
              <w:top w:val="single" w:sz="6" w:space="0" w:color="auto"/>
              <w:left w:val="single" w:sz="6" w:space="0" w:color="auto"/>
              <w:bottom w:val="single" w:sz="6" w:space="0" w:color="auto"/>
              <w:right w:val="single" w:sz="6" w:space="0" w:color="auto"/>
            </w:tcBorders>
          </w:tcPr>
          <w:p w:rsidR="004E1F3E" w:rsidRDefault="004E1F3E">
            <w:pPr>
              <w:rPr>
                <w:sz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4E1F3E" w:rsidRDefault="004E1F3E">
            <w:pPr>
              <w:rPr>
                <w:sz w:val="22"/>
              </w:rPr>
            </w:pPr>
          </w:p>
        </w:tc>
      </w:tr>
      <w:tr w:rsidR="004E1F3E" w:rsidTr="00700150">
        <w:trPr>
          <w:cantSplit/>
          <w:trHeight w:val="288"/>
        </w:trPr>
        <w:tc>
          <w:tcPr>
            <w:tcW w:w="1170" w:type="dxa"/>
            <w:vMerge/>
            <w:tcBorders>
              <w:left w:val="single" w:sz="4" w:space="0" w:color="auto"/>
              <w:right w:val="single" w:sz="4" w:space="0" w:color="auto"/>
            </w:tcBorders>
            <w:vAlign w:val="center"/>
          </w:tcPr>
          <w:p w:rsidR="004E1F3E" w:rsidRDefault="004E1F3E">
            <w:pPr>
              <w:rPr>
                <w:sz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4E1F3E" w:rsidRDefault="004E1F3E">
            <w:pPr>
              <w:rPr>
                <w:sz w:val="22"/>
              </w:rPr>
            </w:pPr>
            <w:r>
              <w:rPr>
                <w:sz w:val="22"/>
              </w:rPr>
              <w:t>S5100 HC</w:t>
            </w:r>
          </w:p>
        </w:tc>
        <w:tc>
          <w:tcPr>
            <w:tcW w:w="3600" w:type="dxa"/>
            <w:tcBorders>
              <w:top w:val="single" w:sz="6" w:space="0" w:color="auto"/>
              <w:left w:val="single" w:sz="4" w:space="0" w:color="auto"/>
              <w:bottom w:val="single" w:sz="6" w:space="0" w:color="auto"/>
              <w:right w:val="single" w:sz="6" w:space="0" w:color="auto"/>
            </w:tcBorders>
            <w:vAlign w:val="center"/>
          </w:tcPr>
          <w:p w:rsidR="004E1F3E" w:rsidRDefault="004E1F3E">
            <w:pPr>
              <w:rPr>
                <w:sz w:val="22"/>
              </w:rPr>
            </w:pPr>
            <w:r>
              <w:rPr>
                <w:sz w:val="22"/>
              </w:rPr>
              <w:t>Day Care Services</w:t>
            </w:r>
          </w:p>
        </w:tc>
        <w:tc>
          <w:tcPr>
            <w:tcW w:w="1800" w:type="dxa"/>
            <w:tcBorders>
              <w:top w:val="single" w:sz="6" w:space="0" w:color="auto"/>
              <w:left w:val="single" w:sz="6" w:space="0" w:color="auto"/>
              <w:bottom w:val="single" w:sz="6" w:space="0" w:color="auto"/>
              <w:right w:val="single" w:sz="6" w:space="0" w:color="auto"/>
            </w:tcBorders>
            <w:vAlign w:val="center"/>
          </w:tcPr>
          <w:p w:rsidR="004E1F3E" w:rsidRDefault="004E1F3E" w:rsidP="0098713C">
            <w:pPr>
              <w:jc w:val="center"/>
              <w:rPr>
                <w:sz w:val="22"/>
              </w:rPr>
            </w:pPr>
            <w:r>
              <w:rPr>
                <w:sz w:val="22"/>
              </w:rPr>
              <w:t>$3.14</w:t>
            </w:r>
          </w:p>
        </w:tc>
        <w:tc>
          <w:tcPr>
            <w:tcW w:w="1800" w:type="dxa"/>
            <w:tcBorders>
              <w:top w:val="single" w:sz="6" w:space="0" w:color="auto"/>
              <w:left w:val="single" w:sz="6" w:space="0" w:color="auto"/>
              <w:bottom w:val="single" w:sz="6" w:space="0" w:color="auto"/>
              <w:right w:val="single" w:sz="6" w:space="0" w:color="auto"/>
            </w:tcBorders>
            <w:vAlign w:val="center"/>
          </w:tcPr>
          <w:p w:rsidR="004E1F3E" w:rsidRDefault="004E1F3E" w:rsidP="0097732A">
            <w:pPr>
              <w:jc w:val="center"/>
              <w:rPr>
                <w:sz w:val="22"/>
              </w:rPr>
            </w:pPr>
            <w:r>
              <w:rPr>
                <w:sz w:val="22"/>
              </w:rPr>
              <w:t>$3.48</w:t>
            </w:r>
          </w:p>
        </w:tc>
        <w:tc>
          <w:tcPr>
            <w:tcW w:w="1890" w:type="dxa"/>
            <w:tcBorders>
              <w:top w:val="single" w:sz="6" w:space="0" w:color="auto"/>
              <w:left w:val="single" w:sz="6" w:space="0" w:color="auto"/>
              <w:bottom w:val="single" w:sz="6" w:space="0" w:color="auto"/>
              <w:right w:val="single" w:sz="6" w:space="0" w:color="auto"/>
            </w:tcBorders>
            <w:vAlign w:val="center"/>
          </w:tcPr>
          <w:p w:rsidR="0097732A" w:rsidRPr="0069320E" w:rsidRDefault="004E1F3E" w:rsidP="00700150">
            <w:pPr>
              <w:jc w:val="center"/>
              <w:rPr>
                <w:sz w:val="22"/>
                <w:szCs w:val="22"/>
              </w:rPr>
            </w:pPr>
            <w:r w:rsidRPr="0069320E">
              <w:rPr>
                <w:sz w:val="22"/>
                <w:szCs w:val="22"/>
              </w:rPr>
              <w:t>$3.45</w:t>
            </w:r>
          </w:p>
        </w:tc>
        <w:tc>
          <w:tcPr>
            <w:tcW w:w="1710" w:type="dxa"/>
            <w:tcBorders>
              <w:top w:val="single" w:sz="6" w:space="0" w:color="auto"/>
              <w:left w:val="single" w:sz="6" w:space="0" w:color="auto"/>
              <w:bottom w:val="single" w:sz="6" w:space="0" w:color="auto"/>
              <w:right w:val="single" w:sz="6" w:space="0" w:color="auto"/>
            </w:tcBorders>
            <w:vAlign w:val="center"/>
          </w:tcPr>
          <w:p w:rsidR="004E1F3E" w:rsidRDefault="004E1F3E" w:rsidP="00BC3320">
            <w:pPr>
              <w:jc w:val="center"/>
              <w:rPr>
                <w:sz w:val="22"/>
              </w:rPr>
            </w:pPr>
            <w:r>
              <w:rPr>
                <w:sz w:val="22"/>
              </w:rPr>
              <w:t>Per 15 mins</w:t>
            </w:r>
          </w:p>
        </w:tc>
      </w:tr>
    </w:tbl>
    <w:p w:rsidR="00394374" w:rsidRDefault="00394374">
      <w:pPr>
        <w:rPr>
          <w:sz w:val="22"/>
        </w:rPr>
      </w:pPr>
      <w:bookmarkStart w:id="0" w:name="_GoBack"/>
      <w:bookmarkEnd w:id="0"/>
    </w:p>
    <w:p w:rsidR="00203886" w:rsidRDefault="00203886">
      <w:pPr>
        <w:rPr>
          <w:sz w:val="22"/>
        </w:rPr>
      </w:pPr>
    </w:p>
    <w:p w:rsidR="00203886" w:rsidRPr="0069320E" w:rsidRDefault="00BA7616" w:rsidP="0069320E">
      <w:pPr>
        <w:ind w:left="360"/>
        <w:jc w:val="both"/>
        <w:rPr>
          <w:sz w:val="22"/>
          <w:szCs w:val="22"/>
        </w:rPr>
      </w:pPr>
      <w:r w:rsidRPr="0069320E">
        <w:rPr>
          <w:sz w:val="22"/>
          <w:szCs w:val="22"/>
        </w:rPr>
        <w:t>*</w:t>
      </w:r>
      <w:r w:rsidRPr="0069320E">
        <w:rPr>
          <w:color w:val="44546A"/>
          <w:sz w:val="22"/>
          <w:szCs w:val="22"/>
        </w:rPr>
        <w:t>Pursuant to P.L. 2017, ch. 460, Part B, Sec. B-2:  Effective July 1, 2019, payment rates attributable to wages and salaries for personal care and related services will be increased annually by an inflation adjustment cost-of-living percentage in accordance with the United States Department of Labor, Bureau of Labor Statistics Consumer Price Index, Medical care services (professional services, nursing home and adult day care services) from the prior December.  These cost of living increases shall continue annually until the Department has completed a rate study for adult family care services, adult day services or homemaker services and the rates in the rate study have been implemented.</w:t>
      </w:r>
    </w:p>
    <w:sectPr w:rsidR="00203886" w:rsidRPr="0069320E">
      <w:headerReference w:type="default" r:id="rId7"/>
      <w:pgSz w:w="15840" w:h="12240" w:orient="landscape" w:code="1"/>
      <w:pgMar w:top="1800" w:right="994" w:bottom="1800" w:left="1354"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BA" w:rsidRDefault="007455BA">
      <w:r>
        <w:separator/>
      </w:r>
    </w:p>
  </w:endnote>
  <w:endnote w:type="continuationSeparator" w:id="0">
    <w:p w:rsidR="007455BA" w:rsidRDefault="0074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BA" w:rsidRDefault="007455BA">
      <w:r>
        <w:separator/>
      </w:r>
    </w:p>
  </w:footnote>
  <w:footnote w:type="continuationSeparator" w:id="0">
    <w:p w:rsidR="007455BA" w:rsidRDefault="00745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55" w:rsidRDefault="00E13B55">
    <w:pPr>
      <w:pStyle w:val="Header"/>
      <w:jc w:val="center"/>
    </w:pPr>
    <w:r>
      <w:t>10-</w:t>
    </w:r>
    <w:proofErr w:type="gramStart"/>
    <w:r>
      <w:t>144  Ch</w:t>
    </w:r>
    <w:proofErr w:type="gramEnd"/>
    <w:r>
      <w:t xml:space="preserve"> 101</w:t>
    </w:r>
  </w:p>
  <w:p w:rsidR="00E13B55" w:rsidRDefault="00E13B55">
    <w:pPr>
      <w:pStyle w:val="Header"/>
      <w:jc w:val="center"/>
    </w:pPr>
    <w:r>
      <w:t>MAINECARE BENEFITS MANUAL</w:t>
    </w:r>
  </w:p>
  <w:p w:rsidR="00E13B55" w:rsidRDefault="00E13B55">
    <w:pPr>
      <w:pStyle w:val="Header"/>
      <w:jc w:val="center"/>
    </w:pPr>
    <w:r>
      <w:t>CHAPTER III</w:t>
    </w:r>
  </w:p>
  <w:p w:rsidR="00E13B55" w:rsidRDefault="0028597F">
    <w:pPr>
      <w:pBdr>
        <w:top w:val="single" w:sz="4" w:space="1" w:color="auto"/>
        <w:bottom w:val="single" w:sz="4" w:space="1" w:color="auto"/>
      </w:pBdr>
      <w:tabs>
        <w:tab w:val="center" w:pos="6840"/>
        <w:tab w:val="right" w:pos="13500"/>
      </w:tabs>
      <w:spacing w:before="120"/>
      <w:jc w:val="both"/>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21.1pt;margin-top:6.5pt;width:0;height:11.9pt;z-index:251657728" o:connectortype="straight"/>
      </w:pict>
    </w:r>
    <w:r w:rsidR="00E13B55">
      <w:t>SECTION 26</w:t>
    </w:r>
    <w:r w:rsidR="00E13B55">
      <w:tab/>
    </w:r>
    <w:r w:rsidR="00E13B55">
      <w:rPr>
        <w:b/>
      </w:rPr>
      <w:t>DAY HEALTH SERVICES</w:t>
    </w:r>
    <w:r w:rsidR="00E13B55">
      <w:rPr>
        <w:b/>
      </w:rPr>
      <w:tab/>
    </w:r>
    <w:r w:rsidR="00E13B55">
      <w:t>Last updated</w:t>
    </w:r>
    <w:r w:rsidR="00040209">
      <w:t xml:space="preserve"> </w:t>
    </w:r>
    <w:r w:rsidR="00700150">
      <w:t>February 12, 2019</w:t>
    </w:r>
    <w:r w:rsidR="00040209">
      <w:t xml:space="preserve"> </w:t>
    </w:r>
  </w:p>
  <w:p w:rsidR="00E13B55" w:rsidRDefault="00E13B55">
    <w:pPr>
      <w:pStyle w:val="Header"/>
      <w:tabs>
        <w:tab w:val="clear" w:pos="8640"/>
        <w:tab w:val="right" w:pos="1350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F8"/>
    <w:rsid w:val="00040209"/>
    <w:rsid w:val="0005181F"/>
    <w:rsid w:val="000D4416"/>
    <w:rsid w:val="000D51A5"/>
    <w:rsid w:val="0016141D"/>
    <w:rsid w:val="001624F8"/>
    <w:rsid w:val="00194869"/>
    <w:rsid w:val="00203886"/>
    <w:rsid w:val="00274CE7"/>
    <w:rsid w:val="0028597F"/>
    <w:rsid w:val="00302972"/>
    <w:rsid w:val="003112D2"/>
    <w:rsid w:val="0032309C"/>
    <w:rsid w:val="00394374"/>
    <w:rsid w:val="00436753"/>
    <w:rsid w:val="004A4F58"/>
    <w:rsid w:val="004E1F3E"/>
    <w:rsid w:val="004F0C46"/>
    <w:rsid w:val="00594648"/>
    <w:rsid w:val="0069320E"/>
    <w:rsid w:val="006A61B2"/>
    <w:rsid w:val="006F3F16"/>
    <w:rsid w:val="00700150"/>
    <w:rsid w:val="007235A5"/>
    <w:rsid w:val="007455BA"/>
    <w:rsid w:val="00773E85"/>
    <w:rsid w:val="00792B7B"/>
    <w:rsid w:val="007C0A9F"/>
    <w:rsid w:val="007C3A05"/>
    <w:rsid w:val="00864185"/>
    <w:rsid w:val="0094470C"/>
    <w:rsid w:val="00950078"/>
    <w:rsid w:val="0097732A"/>
    <w:rsid w:val="0098713C"/>
    <w:rsid w:val="00990C95"/>
    <w:rsid w:val="009B4E3F"/>
    <w:rsid w:val="00B35D78"/>
    <w:rsid w:val="00B56543"/>
    <w:rsid w:val="00B62149"/>
    <w:rsid w:val="00BA7616"/>
    <w:rsid w:val="00BC3320"/>
    <w:rsid w:val="00C26EC8"/>
    <w:rsid w:val="00CB3EBD"/>
    <w:rsid w:val="00D5642D"/>
    <w:rsid w:val="00D963F4"/>
    <w:rsid w:val="00E03FA2"/>
    <w:rsid w:val="00E10CEE"/>
    <w:rsid w:val="00E13B55"/>
    <w:rsid w:val="00E45E13"/>
    <w:rsid w:val="00E46C2A"/>
    <w:rsid w:val="00E94761"/>
    <w:rsid w:val="00E957E3"/>
    <w:rsid w:val="00EC2739"/>
    <w:rsid w:val="00F45AB1"/>
    <w:rsid w:val="00F54BB3"/>
    <w:rsid w:val="00F673F7"/>
    <w:rsid w:val="00F74F69"/>
    <w:rsid w:val="00FA73F9"/>
    <w:rsid w:val="00FB4BFA"/>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2"/>
    </w:rPr>
  </w:style>
  <w:style w:type="paragraph" w:styleId="Footer">
    <w:name w:val="footer"/>
    <w:basedOn w:val="Normal"/>
    <w:pPr>
      <w:tabs>
        <w:tab w:val="center" w:pos="4320"/>
        <w:tab w:val="right" w:pos="8640"/>
      </w:tabs>
    </w:pPr>
    <w:rPr>
      <w:sz w:val="22"/>
    </w:rPr>
  </w:style>
  <w:style w:type="paragraph" w:styleId="BalloonText">
    <w:name w:val="Balloon Text"/>
    <w:basedOn w:val="Normal"/>
    <w:link w:val="BalloonTextChar"/>
    <w:rsid w:val="00B62149"/>
    <w:rPr>
      <w:rFonts w:ascii="Segoe UI" w:hAnsi="Segoe UI" w:cs="Segoe UI"/>
      <w:sz w:val="18"/>
      <w:szCs w:val="18"/>
    </w:rPr>
  </w:style>
  <w:style w:type="character" w:customStyle="1" w:styleId="BalloonTextChar">
    <w:name w:val="Balloon Text Char"/>
    <w:link w:val="BalloonText"/>
    <w:rsid w:val="00B621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PROC</vt:lpstr>
    </vt:vector>
  </TitlesOfParts>
  <Company>maine sos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cec</dc:creator>
  <cp:lastModifiedBy>Wismer, Don</cp:lastModifiedBy>
  <cp:revision>8</cp:revision>
  <cp:lastPrinted>2018-11-26T16:58:00Z</cp:lastPrinted>
  <dcterms:created xsi:type="dcterms:W3CDTF">2018-11-29T16:53:00Z</dcterms:created>
  <dcterms:modified xsi:type="dcterms:W3CDTF">2019-02-07T14:01:00Z</dcterms:modified>
</cp:coreProperties>
</file>