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3B" w:rsidRDefault="00BF7C3B" w:rsidP="00EB5588">
      <w:pPr>
        <w:ind w:right="-9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Providers will be reimbursed the resource-adjusted price for each member according to the resource group the member is assigned as a result of the MDS-ALS assessment. The Department will reimburse updated resource adjusted prices twice each year upon reassessments as detailed in Chapter II, Section II. </w:t>
      </w:r>
      <w:r w:rsidR="00C02BE9">
        <w:rPr>
          <w:rFonts w:ascii="Times New Roman" w:hAnsi="Times New Roman"/>
          <w:sz w:val="22"/>
        </w:rPr>
        <w:t>Effective July 1, 2019, p</w:t>
      </w:r>
      <w:r w:rsidR="004C1F90">
        <w:rPr>
          <w:rFonts w:ascii="Times New Roman" w:hAnsi="Times New Roman"/>
          <w:sz w:val="22"/>
        </w:rPr>
        <w:t xml:space="preserve">ayment rates attributable to wages and salaries for personal care and related services will be increased annually by an inflation adjustment cost-of-living percentage in accordance with the United States Department of Labor, Bureau of Labor Statistics Consumer Price Index, </w:t>
      </w:r>
      <w:r w:rsidR="00C52FE0">
        <w:rPr>
          <w:rFonts w:ascii="Times New Roman" w:hAnsi="Times New Roman"/>
          <w:sz w:val="22"/>
        </w:rPr>
        <w:t>Medical Care S</w:t>
      </w:r>
      <w:r w:rsidR="004C1F90">
        <w:rPr>
          <w:rFonts w:ascii="Times New Roman" w:hAnsi="Times New Roman"/>
          <w:sz w:val="22"/>
        </w:rPr>
        <w:t>ervices</w:t>
      </w:r>
      <w:r w:rsidR="00C52FE0">
        <w:rPr>
          <w:rFonts w:ascii="Times New Roman" w:hAnsi="Times New Roman"/>
          <w:sz w:val="22"/>
        </w:rPr>
        <w:t xml:space="preserve"> </w:t>
      </w:r>
      <w:r w:rsidR="004C1F90">
        <w:rPr>
          <w:rFonts w:ascii="Times New Roman" w:hAnsi="Times New Roman"/>
          <w:sz w:val="22"/>
        </w:rPr>
        <w:t>index</w:t>
      </w:r>
      <w:r w:rsidR="00154908">
        <w:rPr>
          <w:rFonts w:ascii="Times New Roman" w:hAnsi="Times New Roman"/>
          <w:sz w:val="22"/>
        </w:rPr>
        <w:t xml:space="preserve"> from the prior December for professional services, nursing home and adult day care services. Those cost of living increases shall continue annually until the Department has completed a rate study for adult family care services and the rates in the rate study have been implemented. </w:t>
      </w:r>
      <w:r>
        <w:rPr>
          <w:rFonts w:ascii="Times New Roman" w:hAnsi="Times New Roman"/>
          <w:sz w:val="22"/>
        </w:rPr>
        <w:t>Providers must bill using the UB-92 and according to “</w:t>
      </w:r>
      <w:r>
        <w:rPr>
          <w:rFonts w:ascii="Times New Roman" w:hAnsi="Times New Roman"/>
          <w:i/>
          <w:sz w:val="22"/>
        </w:rPr>
        <w:t>Billing Instructions for Adult Family Care Services</w:t>
      </w:r>
      <w:r>
        <w:rPr>
          <w:rFonts w:ascii="Times New Roman" w:hAnsi="Times New Roman"/>
          <w:sz w:val="22"/>
        </w:rPr>
        <w:t>.”</w:t>
      </w:r>
    </w:p>
    <w:p w:rsidR="00EB5588" w:rsidRDefault="00EB5588" w:rsidP="00EB5588">
      <w:pPr>
        <w:ind w:right="-90"/>
        <w:rPr>
          <w:rFonts w:ascii="Times New Roman" w:hAnsi="Times New Roman"/>
          <w:sz w:val="22"/>
        </w:rPr>
      </w:pPr>
    </w:p>
    <w:p w:rsidR="00BF7C3B" w:rsidRDefault="00BF7C3B">
      <w:pPr>
        <w:ind w:left="-720"/>
        <w:rPr>
          <w:rFonts w:ascii="Times New Roman" w:hAnsi="Times New Roman"/>
          <w:sz w:val="22"/>
        </w:rPr>
      </w:pPr>
    </w:p>
    <w:tbl>
      <w:tblPr>
        <w:tblW w:w="12384" w:type="dxa"/>
        <w:tblLayout w:type="fixed"/>
        <w:tblLook w:val="0000" w:firstRow="0" w:lastRow="0" w:firstColumn="0" w:lastColumn="0" w:noHBand="0" w:noVBand="0"/>
      </w:tblPr>
      <w:tblGrid>
        <w:gridCol w:w="4694"/>
        <w:gridCol w:w="7690"/>
      </w:tblGrid>
      <w:tr w:rsidR="00BF7C3B" w:rsidTr="00EB5588">
        <w:trPr>
          <w:cantSplit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C3B" w:rsidRDefault="00BF7C3B" w:rsidP="00A200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Description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C3B" w:rsidRDefault="00BF7C3B" w:rsidP="00A2006E">
            <w:pPr>
              <w:tabs>
                <w:tab w:val="right" w:pos="4766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Maximum</w:t>
            </w:r>
            <w:r w:rsidR="00F94DF7"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Allowance</w:t>
            </w:r>
          </w:p>
        </w:tc>
      </w:tr>
      <w:tr w:rsidR="00BF7C3B" w:rsidTr="00EB5588">
        <w:trPr>
          <w:cantSplit/>
        </w:trPr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C3B" w:rsidRDefault="00BF7C3B" w:rsidP="00F94D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Adult Family Care Services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C3B" w:rsidRDefault="00BF7C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Resource-Adjusted Price, determined by Resource group assignment as a result of MDS-ALS Assessment</w:t>
            </w:r>
          </w:p>
        </w:tc>
      </w:tr>
    </w:tbl>
    <w:p w:rsidR="002877B4" w:rsidRDefault="002877B4" w:rsidP="003E4BFD">
      <w:pPr>
        <w:jc w:val="center"/>
        <w:rPr>
          <w:rFonts w:ascii="Times New Roman" w:hAnsi="Times New Roman"/>
          <w:sz w:val="22"/>
        </w:rPr>
      </w:pPr>
    </w:p>
    <w:p w:rsidR="00BF7C3B" w:rsidRPr="00394672" w:rsidRDefault="00AE704E" w:rsidP="008502F4">
      <w:pPr>
        <w:rPr>
          <w:rFonts w:ascii="Times New Roman" w:hAnsi="Times New Roman"/>
          <w:sz w:val="22"/>
        </w:rPr>
      </w:pPr>
      <w:r w:rsidRPr="00394672"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z w:val="22"/>
        </w:rPr>
        <w:t xml:space="preserve"> Department is seeking and anticipates receiving </w:t>
      </w:r>
      <w:r w:rsidR="00CB6795">
        <w:rPr>
          <w:rFonts w:ascii="Times New Roman" w:hAnsi="Times New Roman"/>
          <w:sz w:val="22"/>
        </w:rPr>
        <w:t>Centers for Medicare and Medicaid Services</w:t>
      </w:r>
      <w:r w:rsidR="003E4BFD">
        <w:rPr>
          <w:rFonts w:ascii="Times New Roman" w:hAnsi="Times New Roman"/>
          <w:sz w:val="22"/>
        </w:rPr>
        <w:t xml:space="preserve"> </w:t>
      </w:r>
      <w:r w:rsidR="00CB6795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CMS</w:t>
      </w:r>
      <w:r w:rsidR="00CB6795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approval for this Section. Pending approval, increased rates will be as follows:</w:t>
      </w:r>
    </w:p>
    <w:p w:rsidR="00BF7C3B" w:rsidRPr="005061F7" w:rsidRDefault="00BF7C3B">
      <w:pPr>
        <w:rPr>
          <w:rFonts w:ascii="Times New Roman" w:hAnsi="Times New Roman"/>
          <w:sz w:val="22"/>
          <w:szCs w:val="22"/>
        </w:rPr>
      </w:pPr>
    </w:p>
    <w:tbl>
      <w:tblPr>
        <w:tblW w:w="12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170"/>
        <w:gridCol w:w="2610"/>
        <w:gridCol w:w="2520"/>
        <w:gridCol w:w="2520"/>
        <w:gridCol w:w="2520"/>
      </w:tblGrid>
      <w:tr w:rsidR="00FB53D8" w:rsidRPr="007B616A" w:rsidTr="00A2006E">
        <w:trPr>
          <w:cantSplit/>
          <w:trHeight w:val="1695"/>
        </w:trPr>
        <w:tc>
          <w:tcPr>
            <w:tcW w:w="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B53D8" w:rsidRPr="007B616A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16A">
              <w:rPr>
                <w:rFonts w:ascii="Times New Roman" w:hAnsi="Times New Roman"/>
                <w:color w:val="000000"/>
                <w:sz w:val="22"/>
                <w:szCs w:val="22"/>
              </w:rPr>
              <w:t>Resource Group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B53D8" w:rsidRPr="007B616A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B53D8" w:rsidRPr="007B616A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16A">
              <w:rPr>
                <w:rFonts w:ascii="Times New Roman" w:hAnsi="Times New Roman"/>
                <w:color w:val="000000"/>
                <w:sz w:val="22"/>
                <w:szCs w:val="22"/>
              </w:rPr>
              <w:t>MaineCare  Weight</w:t>
            </w:r>
          </w:p>
          <w:p w:rsidR="00FB53D8" w:rsidRPr="007B616A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B53D8" w:rsidRPr="00EC431B" w:rsidRDefault="00FB53D8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>Resource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$46.79 Unadjusted Price Multiplied by MaineCare weight) </w:t>
            </w:r>
            <w:r w:rsidRPr="00EC431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7/1/16 to 6/30/17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B53D8" w:rsidRPr="00EC431B" w:rsidRDefault="00FB53D8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>Resource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$48.43 Unadjusted Price Multiplied by MaineCare weight) </w:t>
            </w:r>
            <w:r w:rsidRPr="00EC431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Retroactive to 7/1/17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3D8" w:rsidRPr="009E0940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Resource Adjusted </w:t>
            </w: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*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$53.71</w:t>
            </w:r>
            <w:r w:rsidRPr="00EF44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Unadjusted Price Multiplied by MaineCare weight)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Effective Retroactive to </w:t>
            </w:r>
            <w:r w:rsidRPr="00EC431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8/1/18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3D8" w:rsidRPr="00A2006E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200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Resource Adjusted </w:t>
            </w:r>
            <w:r w:rsidRPr="00EC43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* </w:t>
            </w:r>
            <w:r w:rsidRPr="00A2006E">
              <w:rPr>
                <w:rFonts w:ascii="Times New Roman" w:hAnsi="Times New Roman"/>
                <w:color w:val="000000"/>
                <w:sz w:val="22"/>
                <w:szCs w:val="22"/>
              </w:rPr>
              <w:t>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  <w:r w:rsidRPr="00A200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$5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A2006E">
              <w:rPr>
                <w:rFonts w:ascii="Times New Roman" w:hAnsi="Times New Roman"/>
                <w:color w:val="000000"/>
                <w:sz w:val="22"/>
                <w:szCs w:val="22"/>
              </w:rPr>
              <w:t>.2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A200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Unadjusted Price Multiplied by MaineCare weight) </w:t>
            </w:r>
            <w:r w:rsidR="009E094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</w:t>
            </w:r>
            <w:r w:rsidRPr="00A200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9E094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  <w:r w:rsidRPr="00EC431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/1/1</w:t>
            </w:r>
            <w:r w:rsidR="009E094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$77.53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$80.24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$89.00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$56.62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$58.60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$64.99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$63.63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$65.86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$73.05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1.027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$48.05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$49.73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$55.16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.924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$43.23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$44.75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$49.63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.804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$37.62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$38.94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$43.18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.551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$25.78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$26.68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$29.60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</w:tr>
      <w:tr w:rsidR="00FB53D8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.551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$25.78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$26.68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53D8" w:rsidRDefault="009E0940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$29.60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53D8" w:rsidRPr="00183793" w:rsidRDefault="00FB53D8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4398E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</w:tr>
    </w:tbl>
    <w:p w:rsidR="00E63E56" w:rsidRDefault="00E63E56" w:rsidP="00A14B5B">
      <w:pPr>
        <w:rPr>
          <w:rFonts w:ascii="Times New Roman" w:hAnsi="Times New Roman"/>
          <w:b/>
        </w:rPr>
      </w:pPr>
    </w:p>
    <w:p w:rsidR="00E63E56" w:rsidRDefault="00E63E56" w:rsidP="00A14B5B">
      <w:pPr>
        <w:rPr>
          <w:rFonts w:ascii="Times New Roman" w:hAnsi="Times New Roman"/>
          <w:b/>
        </w:rPr>
      </w:pPr>
    </w:p>
    <w:p w:rsidR="000F7456" w:rsidRDefault="000000EA" w:rsidP="00A14B5B">
      <w:pPr>
        <w:rPr>
          <w:rFonts w:ascii="Times New Roman" w:hAnsi="Times New Roman"/>
          <w:sz w:val="22"/>
          <w:szCs w:val="22"/>
        </w:rPr>
      </w:pPr>
      <w:r w:rsidRPr="00E63E56">
        <w:rPr>
          <w:rFonts w:ascii="Times New Roman" w:hAnsi="Times New Roman"/>
          <w:b/>
          <w:sz w:val="22"/>
          <w:szCs w:val="22"/>
        </w:rPr>
        <w:t>Remote Island Facility Supplemental Payment</w:t>
      </w:r>
      <w:r w:rsidRPr="00E63E56">
        <w:rPr>
          <w:rFonts w:ascii="Times New Roman" w:hAnsi="Times New Roman"/>
          <w:sz w:val="22"/>
          <w:szCs w:val="22"/>
        </w:rPr>
        <w:t>:</w:t>
      </w:r>
      <w:r w:rsidR="00CB6795" w:rsidRPr="00E63E56">
        <w:rPr>
          <w:rFonts w:ascii="Times New Roman" w:hAnsi="Times New Roman"/>
          <w:sz w:val="22"/>
          <w:szCs w:val="22"/>
        </w:rPr>
        <w:t xml:space="preserve"> If CMS approves, effective </w:t>
      </w:r>
      <w:r w:rsidR="009B0F12" w:rsidRPr="00E63E56">
        <w:rPr>
          <w:rFonts w:ascii="Times New Roman" w:hAnsi="Times New Roman"/>
          <w:sz w:val="22"/>
          <w:szCs w:val="22"/>
        </w:rPr>
        <w:t>October 1, 2015, Remote Island Facilities are entitled to a supplemental payment of fifteen (15) perc</w:t>
      </w:r>
      <w:r w:rsidR="003E4BFD" w:rsidRPr="00E63E56">
        <w:rPr>
          <w:rFonts w:ascii="Times New Roman" w:hAnsi="Times New Roman"/>
          <w:sz w:val="22"/>
          <w:szCs w:val="22"/>
        </w:rPr>
        <w:t xml:space="preserve">ent in addition to the standard </w:t>
      </w:r>
      <w:r w:rsidR="009B0F12" w:rsidRPr="00E63E56">
        <w:rPr>
          <w:rFonts w:ascii="Times New Roman" w:hAnsi="Times New Roman"/>
          <w:sz w:val="22"/>
          <w:szCs w:val="22"/>
        </w:rPr>
        <w:t>MaineCare reimbursement rate, as set forth in Chapter III. Eligible facilities are allowed to retain this supplemental payment in addition to the total allowable rate under these rules.</w:t>
      </w:r>
    </w:p>
    <w:p w:rsidR="00E63E56" w:rsidRDefault="00E63E56" w:rsidP="00A14B5B">
      <w:pPr>
        <w:rPr>
          <w:rFonts w:ascii="Times New Roman" w:hAnsi="Times New Roman"/>
          <w:sz w:val="22"/>
          <w:szCs w:val="22"/>
        </w:rPr>
      </w:pPr>
    </w:p>
    <w:p w:rsidR="00EB5588" w:rsidRPr="00E63E56" w:rsidRDefault="00EB5588" w:rsidP="00A14B5B">
      <w:pPr>
        <w:rPr>
          <w:rFonts w:ascii="Times New Roman" w:hAnsi="Times New Roman"/>
          <w:sz w:val="22"/>
          <w:szCs w:val="22"/>
        </w:rPr>
      </w:pPr>
    </w:p>
    <w:tbl>
      <w:tblPr>
        <w:tblW w:w="12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170"/>
        <w:gridCol w:w="2610"/>
        <w:gridCol w:w="2790"/>
        <w:gridCol w:w="2610"/>
        <w:gridCol w:w="2880"/>
      </w:tblGrid>
      <w:tr w:rsidR="000B1824" w:rsidRPr="000E19E8" w:rsidTr="00A2006E">
        <w:trPr>
          <w:cantSplit/>
          <w:trHeight w:val="1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Pr="000E19E8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Resource</w:t>
            </w:r>
          </w:p>
          <w:p w:rsidR="000B1824" w:rsidRPr="000E19E8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Pr="000E19E8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MaineCare</w:t>
            </w:r>
          </w:p>
          <w:p w:rsidR="000B1824" w:rsidRPr="000E19E8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Pr="000E19E8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Resource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$51.74 Unadjusted Price Multiplied by MaineCare Weight)</w:t>
            </w:r>
          </w:p>
          <w:p w:rsidR="000B1824" w:rsidRPr="009D530F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D5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10/1/15-6/30/16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Pr="000E19E8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Resource Adju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$53.81 Unadjusted Price Multiplied by MaineCare Weight) </w:t>
            </w:r>
            <w:r w:rsidRPr="009D5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7/1/16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to 6/30/17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Resource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$55.69 Unadjusted Price Multiplied by MaineCare Weight) </w:t>
            </w:r>
            <w:r w:rsidRPr="009D5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Effective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Retroactive</w:t>
            </w:r>
          </w:p>
          <w:p w:rsidR="000B1824" w:rsidRPr="000E19E8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to </w:t>
            </w:r>
            <w:r w:rsidRPr="009D5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7/1/17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0E19E8" w:rsidRDefault="00922995" w:rsidP="00922995">
            <w:pPr>
              <w:pBdr>
                <w:left w:val="single" w:sz="6" w:space="1" w:color="auto"/>
              </w:pBdr>
              <w:tabs>
                <w:tab w:val="left" w:pos="187"/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Resource*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$61.76 Unadjusted Price Multiplied by MaineCare Weight)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Retroactive to 8/1/18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$85.73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$89.16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$92.28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$102.34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$62.60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$65.11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$67.39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$74.73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$70.36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$73.18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$75.74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$83.99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1.027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$53.14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$55.26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$57.19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$63.43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0.924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$47.81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$49.72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$51.46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$57.07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0.804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$41.60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$43.26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$44.78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$49.66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$28.51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$29.65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$30.69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$34.03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$28.51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$29.65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$30.69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Default="00922995" w:rsidP="00E63E5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$34.03</w:t>
            </w:r>
          </w:p>
        </w:tc>
      </w:tr>
    </w:tbl>
    <w:p w:rsidR="00C52FE0" w:rsidRDefault="005D1B5D" w:rsidP="005335B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0B1824" w:rsidRPr="005D1B5D" w:rsidRDefault="005D1B5D" w:rsidP="00A2006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(Table cont’d. below)</w:t>
      </w: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886084" w:rsidRDefault="00886084" w:rsidP="005335B9">
      <w:pPr>
        <w:rPr>
          <w:rFonts w:ascii="Times New Roman" w:hAnsi="Times New Roman"/>
          <w:b/>
          <w:sz w:val="22"/>
          <w:szCs w:val="22"/>
        </w:rPr>
      </w:pPr>
    </w:p>
    <w:p w:rsidR="00D94691" w:rsidRDefault="00D94691" w:rsidP="005335B9">
      <w:pPr>
        <w:rPr>
          <w:rFonts w:ascii="Times New Roman" w:hAnsi="Times New Roman"/>
          <w:b/>
          <w:sz w:val="22"/>
          <w:szCs w:val="22"/>
        </w:rPr>
      </w:pPr>
    </w:p>
    <w:p w:rsidR="00886084" w:rsidRDefault="00886084" w:rsidP="005335B9">
      <w:pPr>
        <w:rPr>
          <w:rFonts w:ascii="Times New Roman" w:hAnsi="Times New Roman"/>
          <w:b/>
          <w:sz w:val="22"/>
          <w:szCs w:val="22"/>
        </w:rPr>
      </w:pPr>
    </w:p>
    <w:p w:rsidR="00886084" w:rsidRDefault="0088608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  <w:b/>
          <w:sz w:val="22"/>
          <w:szCs w:val="22"/>
        </w:rPr>
      </w:pPr>
    </w:p>
    <w:p w:rsidR="000B1824" w:rsidRDefault="000B1824" w:rsidP="005335B9">
      <w:pPr>
        <w:rPr>
          <w:rFonts w:ascii="Times New Roman" w:hAnsi="Times New Roman"/>
        </w:rPr>
      </w:pPr>
      <w:r w:rsidRPr="00E63E56">
        <w:rPr>
          <w:rFonts w:ascii="Times New Roman" w:hAnsi="Times New Roman"/>
          <w:b/>
          <w:sz w:val="22"/>
          <w:szCs w:val="22"/>
        </w:rPr>
        <w:t>Remote Island Facility Supplemental Payment</w:t>
      </w:r>
      <w:r>
        <w:rPr>
          <w:rFonts w:ascii="Times New Roman" w:hAnsi="Times New Roman"/>
          <w:b/>
          <w:sz w:val="22"/>
          <w:szCs w:val="22"/>
        </w:rPr>
        <w:t xml:space="preserve"> Table Continued:</w:t>
      </w:r>
    </w:p>
    <w:p w:rsidR="000B1824" w:rsidRDefault="000B1824" w:rsidP="005335B9">
      <w:pPr>
        <w:rPr>
          <w:rFonts w:ascii="Times New Roman" w:hAnsi="Times New Roman"/>
        </w:rPr>
      </w:pPr>
    </w:p>
    <w:p w:rsidR="000B1824" w:rsidRDefault="000B1824" w:rsidP="005335B9">
      <w:pPr>
        <w:rPr>
          <w:rFonts w:ascii="Times New Roman" w:hAnsi="Times New Roman"/>
        </w:rPr>
      </w:pPr>
    </w:p>
    <w:tbl>
      <w:tblPr>
        <w:tblW w:w="5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170"/>
        <w:gridCol w:w="3150"/>
      </w:tblGrid>
      <w:tr w:rsidR="000B1824" w:rsidRPr="000E19E8" w:rsidTr="00021726">
        <w:trPr>
          <w:cantSplit/>
          <w:trHeight w:val="151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24" w:rsidRPr="000E19E8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Resource</w:t>
            </w:r>
          </w:p>
          <w:p w:rsidR="000B1824" w:rsidRPr="000E19E8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:rsidR="000B1824" w:rsidRPr="000E19E8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MaineCare</w:t>
            </w:r>
          </w:p>
          <w:p w:rsidR="000B1824" w:rsidRPr="000E19E8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19E8">
              <w:rPr>
                <w:rFonts w:ascii="Times New Roman" w:hAnsi="Times New Roman"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24" w:rsidRPr="000E19E8" w:rsidRDefault="000B1824" w:rsidP="00021726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Resource* Adjusted Price</w:t>
            </w:r>
            <w:r w:rsidR="00D94691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(Based on $61.26 Unadjusted Price Multiplied by MaineCare Weight) </w:t>
            </w:r>
            <w:r w:rsidR="00922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Effective 7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/1/1</w:t>
            </w:r>
            <w:r w:rsidR="00922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$10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$7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$8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1.027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$6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0.924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0.804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3870B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3870B8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</w:tr>
      <w:tr w:rsidR="000B1824" w:rsidRPr="00183793" w:rsidTr="00A2006E">
        <w:trPr>
          <w:cantSplit/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B1824" w:rsidRPr="00183793" w:rsidRDefault="000B1824" w:rsidP="000B1824">
            <w:pPr>
              <w:pBdr>
                <w:left w:val="single" w:sz="6" w:space="1" w:color="auto"/>
              </w:pBdr>
              <w:tabs>
                <w:tab w:val="decimal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3793">
              <w:rPr>
                <w:rFonts w:ascii="Times New Roman" w:hAnsi="Times New Roman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31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B1824" w:rsidRPr="00183793" w:rsidRDefault="000B1824" w:rsidP="00A2006E">
            <w:pPr>
              <w:pBdr>
                <w:left w:val="single" w:sz="6" w:space="1" w:color="auto"/>
              </w:pBdr>
              <w:tabs>
                <w:tab w:val="decimal" w:pos="36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</w:t>
            </w:r>
            <w:r w:rsidR="007E22A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B2AAB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  <w:bookmarkStart w:id="0" w:name="_GoBack"/>
            <w:bookmarkEnd w:id="0"/>
          </w:p>
        </w:tc>
      </w:tr>
    </w:tbl>
    <w:p w:rsidR="000B1824" w:rsidRDefault="000B1824" w:rsidP="005335B9">
      <w:pPr>
        <w:rPr>
          <w:rFonts w:ascii="Times New Roman" w:hAnsi="Times New Roman"/>
        </w:rPr>
      </w:pPr>
    </w:p>
    <w:p w:rsidR="000B1824" w:rsidRDefault="000B1824" w:rsidP="005335B9">
      <w:pPr>
        <w:rPr>
          <w:rFonts w:ascii="Times New Roman" w:hAnsi="Times New Roman"/>
        </w:rPr>
      </w:pPr>
    </w:p>
    <w:p w:rsidR="000B1824" w:rsidRDefault="000B1824" w:rsidP="005335B9">
      <w:pPr>
        <w:rPr>
          <w:rFonts w:ascii="Times New Roman" w:hAnsi="Times New Roman"/>
        </w:rPr>
      </w:pPr>
    </w:p>
    <w:p w:rsidR="00E63E56" w:rsidRPr="00A2006E" w:rsidRDefault="00E56EF2" w:rsidP="005335B9">
      <w:pPr>
        <w:rPr>
          <w:rFonts w:ascii="Times New Roman" w:hAnsi="Times New Roman"/>
          <w:sz w:val="22"/>
          <w:szCs w:val="22"/>
        </w:rPr>
      </w:pPr>
      <w:r w:rsidRPr="00A2006E">
        <w:rPr>
          <w:rFonts w:ascii="Times New Roman" w:hAnsi="Times New Roman"/>
          <w:sz w:val="22"/>
          <w:szCs w:val="22"/>
        </w:rPr>
        <w:t xml:space="preserve">*The increase in rates for services effective </w:t>
      </w:r>
      <w:r w:rsidR="00076059" w:rsidRPr="00A2006E">
        <w:rPr>
          <w:rFonts w:ascii="Times New Roman" w:hAnsi="Times New Roman"/>
          <w:sz w:val="22"/>
          <w:szCs w:val="22"/>
        </w:rPr>
        <w:t>August</w:t>
      </w:r>
      <w:r w:rsidR="00512EC9" w:rsidRPr="00A2006E">
        <w:rPr>
          <w:rFonts w:ascii="Times New Roman" w:hAnsi="Times New Roman"/>
          <w:sz w:val="22"/>
          <w:szCs w:val="22"/>
        </w:rPr>
        <w:t xml:space="preserve"> 1, 2018 and July 1, 2019 </w:t>
      </w:r>
      <w:r w:rsidRPr="00A2006E">
        <w:rPr>
          <w:rFonts w:ascii="Times New Roman" w:hAnsi="Times New Roman"/>
          <w:sz w:val="22"/>
          <w:szCs w:val="22"/>
        </w:rPr>
        <w:t>must be attributed directly to the wages and salaries of the professional staff delivering the</w:t>
      </w:r>
      <w:r w:rsidR="002177C7" w:rsidRPr="00C61ACD">
        <w:rPr>
          <w:rFonts w:ascii="Times New Roman" w:hAnsi="Times New Roman"/>
          <w:sz w:val="22"/>
          <w:szCs w:val="22"/>
        </w:rPr>
        <w:t xml:space="preserve"> personal care and related services to members.</w:t>
      </w:r>
      <w:r w:rsidRPr="00A2006E">
        <w:rPr>
          <w:rFonts w:ascii="Times New Roman" w:hAnsi="Times New Roman"/>
          <w:sz w:val="22"/>
          <w:szCs w:val="22"/>
        </w:rPr>
        <w:t xml:space="preserve"> </w:t>
      </w:r>
    </w:p>
    <w:p w:rsidR="00E63E56" w:rsidRPr="00C61ACD" w:rsidRDefault="00E63E56" w:rsidP="00E63E56">
      <w:pPr>
        <w:rPr>
          <w:rFonts w:ascii="Times New Roman" w:hAnsi="Times New Roman"/>
          <w:sz w:val="22"/>
          <w:szCs w:val="22"/>
        </w:rPr>
      </w:pPr>
    </w:p>
    <w:p w:rsidR="002A7A99" w:rsidRPr="00C61ACD" w:rsidRDefault="00D94691" w:rsidP="00E923DB">
      <w:pPr>
        <w:rPr>
          <w:rFonts w:ascii="Times New Roman" w:hAnsi="Times New Roman"/>
          <w:sz w:val="22"/>
          <w:szCs w:val="22"/>
        </w:rPr>
      </w:pPr>
      <w:r w:rsidRPr="00C61ACD">
        <w:rPr>
          <w:rFonts w:ascii="Times New Roman" w:hAnsi="Times New Roman"/>
          <w:sz w:val="22"/>
          <w:szCs w:val="22"/>
        </w:rPr>
        <w:t xml:space="preserve">** The Department </w:t>
      </w:r>
      <w:r w:rsidR="002177C7" w:rsidRPr="00C61ACD">
        <w:rPr>
          <w:rFonts w:ascii="Times New Roman" w:hAnsi="Times New Roman"/>
          <w:sz w:val="22"/>
          <w:szCs w:val="22"/>
        </w:rPr>
        <w:t>is seeking and anticipates receiving approval from CMS for these rates. Pending approval of the request, the rates will be effective as noted.</w:t>
      </w:r>
    </w:p>
    <w:p w:rsidR="00D94691" w:rsidRPr="00C61ACD" w:rsidRDefault="00D94691" w:rsidP="00E923DB">
      <w:pPr>
        <w:rPr>
          <w:rFonts w:ascii="Times New Roman" w:hAnsi="Times New Roman"/>
          <w:sz w:val="22"/>
          <w:szCs w:val="22"/>
        </w:rPr>
      </w:pPr>
    </w:p>
    <w:p w:rsidR="00D94691" w:rsidRPr="00C61ACD" w:rsidRDefault="00D94691" w:rsidP="00E923DB">
      <w:pPr>
        <w:rPr>
          <w:rFonts w:ascii="Times New Roman" w:hAnsi="Times New Roman"/>
          <w:sz w:val="22"/>
          <w:szCs w:val="22"/>
        </w:rPr>
      </w:pPr>
      <w:r w:rsidRPr="00C61ACD">
        <w:rPr>
          <w:rFonts w:ascii="Times New Roman" w:hAnsi="Times New Roman"/>
          <w:sz w:val="22"/>
          <w:szCs w:val="22"/>
        </w:rPr>
        <w:t xml:space="preserve">*** The Department is seeking and anticipates receiving approval from CMS for these rates. </w:t>
      </w:r>
      <w:r w:rsidR="0041726A" w:rsidRPr="00C61ACD">
        <w:rPr>
          <w:rFonts w:ascii="Times New Roman" w:hAnsi="Times New Roman"/>
          <w:sz w:val="22"/>
          <w:szCs w:val="22"/>
        </w:rPr>
        <w:t>Pending approval of the request, the rates will be effective as noted.</w:t>
      </w:r>
    </w:p>
    <w:sectPr w:rsidR="00D94691" w:rsidRPr="00C61ACD" w:rsidSect="00A2006E">
      <w:headerReference w:type="default" r:id="rId8"/>
      <w:headerReference w:type="first" r:id="rId9"/>
      <w:pgSz w:w="15840" w:h="12240" w:orient="landscape" w:code="1"/>
      <w:pgMar w:top="1440" w:right="1440" w:bottom="1440" w:left="1440" w:header="720" w:footer="720" w:gutter="0"/>
      <w:paperSrc w:first="2" w:other="2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EE" w:rsidRDefault="003C00EE">
      <w:r>
        <w:separator/>
      </w:r>
    </w:p>
  </w:endnote>
  <w:endnote w:type="continuationSeparator" w:id="0">
    <w:p w:rsidR="003C00EE" w:rsidRDefault="003C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EE" w:rsidRDefault="003C00EE">
      <w:r>
        <w:separator/>
      </w:r>
    </w:p>
  </w:footnote>
  <w:footnote w:type="continuationSeparator" w:id="0">
    <w:p w:rsidR="003C00EE" w:rsidRDefault="003C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EE" w:rsidRDefault="003C00EE">
    <w:pPr>
      <w:pStyle w:val="Header"/>
      <w:tabs>
        <w:tab w:val="clear" w:pos="8640"/>
        <w:tab w:val="center" w:leader="underscore" w:pos="9000"/>
      </w:tabs>
      <w:ind w:right="-36"/>
      <w:jc w:val="center"/>
      <w:rPr>
        <w:rFonts w:ascii="Times New Roman" w:hAnsi="Times New Roman"/>
      </w:rPr>
    </w:pPr>
    <w:r>
      <w:rPr>
        <w:rFonts w:ascii="Times New Roman" w:hAnsi="Times New Roman"/>
      </w:rPr>
      <w:t>10-144 Chapter 101</w:t>
    </w:r>
  </w:p>
  <w:p w:rsidR="003C00EE" w:rsidRDefault="003C00EE">
    <w:pPr>
      <w:pStyle w:val="Header"/>
      <w:tabs>
        <w:tab w:val="clear" w:pos="8640"/>
        <w:tab w:val="center" w:leader="underscore" w:pos="9000"/>
      </w:tabs>
      <w:ind w:right="-36"/>
      <w:jc w:val="center"/>
      <w:rPr>
        <w:rFonts w:ascii="Times New Roman" w:hAnsi="Times New Roman"/>
      </w:rPr>
    </w:pPr>
    <w:r>
      <w:rPr>
        <w:rFonts w:ascii="Times New Roman" w:hAnsi="Times New Roman"/>
      </w:rPr>
      <w:t>MAINECARE BENEFITS MANUAL</w:t>
    </w:r>
  </w:p>
  <w:p w:rsidR="003C00EE" w:rsidRDefault="003C00EE">
    <w:pPr>
      <w:pStyle w:val="Header"/>
      <w:tabs>
        <w:tab w:val="clear" w:pos="8640"/>
      </w:tabs>
      <w:ind w:right="144"/>
      <w:jc w:val="center"/>
      <w:rPr>
        <w:rFonts w:ascii="Times New Roman" w:hAnsi="Times New Roman"/>
      </w:rPr>
    </w:pPr>
    <w:r>
      <w:rPr>
        <w:rFonts w:ascii="Times New Roman" w:hAnsi="Times New Roman"/>
      </w:rPr>
      <w:t>CHAPTER III</w:t>
    </w:r>
  </w:p>
  <w:p w:rsidR="003C00EE" w:rsidRDefault="003C00EE">
    <w:pPr>
      <w:pStyle w:val="Header"/>
      <w:tabs>
        <w:tab w:val="clear" w:pos="4320"/>
        <w:tab w:val="clear" w:pos="8640"/>
        <w:tab w:val="center" w:leader="underscore" w:pos="8820"/>
      </w:tabs>
      <w:ind w:right="-36"/>
      <w:rPr>
        <w:rFonts w:ascii="Times New Roman" w:hAnsi="Times New Roman"/>
      </w:rPr>
    </w:pPr>
  </w:p>
  <w:p w:rsidR="003C00EE" w:rsidRPr="00DA1B9A" w:rsidRDefault="003C00EE">
    <w:pPr>
      <w:pStyle w:val="Header"/>
      <w:pBdr>
        <w:top w:val="single" w:sz="6" w:space="1" w:color="auto"/>
        <w:bottom w:val="single" w:sz="6" w:space="1" w:color="auto"/>
      </w:pBdr>
      <w:tabs>
        <w:tab w:val="left" w:leader="underscore" w:pos="8730"/>
      </w:tabs>
      <w:ind w:right="-36"/>
      <w:rPr>
        <w:rFonts w:ascii="Times New Roman" w:hAnsi="Times New Roman"/>
      </w:rPr>
    </w:pPr>
    <w:r>
      <w:rPr>
        <w:rFonts w:ascii="Times New Roman" w:hAnsi="Times New Roman"/>
        <w:b/>
      </w:rPr>
      <w:t>SECTION 2</w:t>
    </w:r>
    <w:r>
      <w:rPr>
        <w:rFonts w:ascii="Times New Roman" w:hAnsi="Times New Roman"/>
        <w:b/>
      </w:rPr>
      <w:tab/>
    </w:r>
    <w:r w:rsidR="00EB5588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>ADULT FAMILY CARE SERVICES</w:t>
    </w:r>
    <w:r>
      <w:rPr>
        <w:rFonts w:ascii="Times New Roman" w:hAnsi="Times New Roman"/>
        <w:b/>
      </w:rPr>
      <w:tab/>
    </w:r>
    <w:r w:rsidR="00E72A71">
      <w:rPr>
        <w:rFonts w:ascii="Times New Roman" w:hAnsi="Times New Roman"/>
        <w:b/>
      </w:rPr>
      <w:tab/>
    </w:r>
    <w:r w:rsidR="00E72A71">
      <w:rPr>
        <w:rFonts w:ascii="Times New Roman" w:hAnsi="Times New Roman"/>
        <w:b/>
      </w:rPr>
      <w:tab/>
    </w:r>
    <w:r w:rsidR="00E72A71">
      <w:rPr>
        <w:rFonts w:ascii="Times New Roman" w:hAnsi="Times New Roman"/>
        <w:b/>
      </w:rPr>
      <w:tab/>
      <w:t xml:space="preserve">  </w:t>
    </w:r>
    <w:r w:rsidR="004926FF">
      <w:rPr>
        <w:rFonts w:ascii="Times New Roman" w:hAnsi="Times New Roman"/>
        <w:b/>
      </w:rPr>
      <w:t xml:space="preserve"> </w:t>
    </w:r>
    <w:r w:rsidR="00E72A71" w:rsidRPr="00A2006E">
      <w:rPr>
        <w:rFonts w:ascii="Times New Roman" w:hAnsi="Times New Roman"/>
      </w:rPr>
      <w:t>Established</w:t>
    </w:r>
    <w:r w:rsidR="00E72A71">
      <w:rPr>
        <w:rFonts w:ascii="Times New Roman" w:hAnsi="Times New Roman"/>
        <w:b/>
      </w:rPr>
      <w:t xml:space="preserve"> </w:t>
    </w:r>
    <w:r w:rsidRPr="00DA1B9A">
      <w:rPr>
        <w:rFonts w:ascii="Times New Roman" w:hAnsi="Times New Roman"/>
      </w:rPr>
      <w:t>May 6, 1996</w:t>
    </w:r>
  </w:p>
  <w:p w:rsidR="003C00EE" w:rsidRPr="00670238" w:rsidRDefault="003C00EE" w:rsidP="000E39A7">
    <w:pPr>
      <w:pStyle w:val="Header"/>
      <w:pBdr>
        <w:top w:val="single" w:sz="6" w:space="1" w:color="auto"/>
        <w:bottom w:val="single" w:sz="6" w:space="1" w:color="auto"/>
      </w:pBdr>
      <w:ind w:right="-36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</w:rPr>
      <w:tab/>
    </w:r>
    <w:r w:rsidR="00EB5588">
      <w:rPr>
        <w:rFonts w:ascii="Times New Roman" w:hAnsi="Times New Roman"/>
      </w:rPr>
      <w:tab/>
    </w:r>
    <w:r w:rsidR="00E72A71">
      <w:rPr>
        <w:rFonts w:ascii="Times New Roman" w:hAnsi="Times New Roman"/>
      </w:rPr>
      <w:t>Updated</w:t>
    </w:r>
    <w:r w:rsidR="004926FF">
      <w:rPr>
        <w:rFonts w:ascii="Times New Roman" w:hAnsi="Times New Roman"/>
      </w:rPr>
      <w:t xml:space="preserve"> </w:t>
    </w:r>
    <w:r w:rsidR="002D6425">
      <w:rPr>
        <w:rFonts w:ascii="Times New Roman" w:hAnsi="Times New Roman"/>
      </w:rPr>
      <w:t>December 24,</w:t>
    </w:r>
    <w:r w:rsidR="004926FF">
      <w:rPr>
        <w:rFonts w:ascii="Times New Roman" w:hAnsi="Times New Roman"/>
      </w:rPr>
      <w:t xml:space="preserve"> 2019</w:t>
    </w:r>
    <w:r w:rsidR="00E72A71">
      <w:rPr>
        <w:rFonts w:ascii="Times New Roman" w:hAnsi="Times New Roman"/>
      </w:rPr>
      <w:t xml:space="preserve"> </w:t>
    </w:r>
  </w:p>
  <w:p w:rsidR="003C00EE" w:rsidRDefault="003C00EE">
    <w:pPr>
      <w:pStyle w:val="Header"/>
      <w:tabs>
        <w:tab w:val="clear" w:pos="8640"/>
        <w:tab w:val="right" w:pos="8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EE" w:rsidRDefault="003C00EE" w:rsidP="00E60995">
    <w:pPr>
      <w:pStyle w:val="Header"/>
      <w:tabs>
        <w:tab w:val="clear" w:pos="8640"/>
        <w:tab w:val="center" w:leader="underscore" w:pos="9000"/>
      </w:tabs>
      <w:ind w:right="-36"/>
      <w:jc w:val="center"/>
      <w:rPr>
        <w:rFonts w:ascii="Times New Roman" w:hAnsi="Times New Roman"/>
      </w:rPr>
    </w:pPr>
    <w:r>
      <w:rPr>
        <w:rFonts w:ascii="Times New Roman" w:hAnsi="Times New Roman"/>
      </w:rPr>
      <w:t>10-144 Chapter 101</w:t>
    </w:r>
  </w:p>
  <w:p w:rsidR="003C00EE" w:rsidRDefault="003C00EE" w:rsidP="00E60995">
    <w:pPr>
      <w:pStyle w:val="Header"/>
      <w:tabs>
        <w:tab w:val="clear" w:pos="8640"/>
        <w:tab w:val="center" w:leader="underscore" w:pos="9000"/>
      </w:tabs>
      <w:ind w:right="-36"/>
      <w:jc w:val="center"/>
      <w:rPr>
        <w:rFonts w:ascii="Times New Roman" w:hAnsi="Times New Roman"/>
      </w:rPr>
    </w:pPr>
    <w:r>
      <w:rPr>
        <w:rFonts w:ascii="Times New Roman" w:hAnsi="Times New Roman"/>
      </w:rPr>
      <w:t>MAINECARE BENEFITS MANUAL</w:t>
    </w:r>
  </w:p>
  <w:p w:rsidR="003C00EE" w:rsidRDefault="003C00EE" w:rsidP="00E60995">
    <w:pPr>
      <w:pStyle w:val="Header"/>
      <w:tabs>
        <w:tab w:val="clear" w:pos="8640"/>
      </w:tabs>
      <w:ind w:right="144"/>
      <w:jc w:val="center"/>
      <w:rPr>
        <w:rFonts w:ascii="Times New Roman" w:hAnsi="Times New Roman"/>
      </w:rPr>
    </w:pPr>
    <w:r>
      <w:rPr>
        <w:rFonts w:ascii="Times New Roman" w:hAnsi="Times New Roman"/>
      </w:rPr>
      <w:t>CHAPTER III</w:t>
    </w:r>
  </w:p>
  <w:p w:rsidR="003C00EE" w:rsidRDefault="003C00EE" w:rsidP="00E07A2C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  <w:p w:rsidR="003C00EE" w:rsidRDefault="003C00EE" w:rsidP="00B4398E">
    <w:pPr>
      <w:pStyle w:val="Header"/>
      <w:pBdr>
        <w:top w:val="single" w:sz="6" w:space="1" w:color="auto"/>
      </w:pBdr>
      <w:tabs>
        <w:tab w:val="clear" w:pos="8640"/>
        <w:tab w:val="right" w:pos="8100"/>
        <w:tab w:val="right" w:pos="12960"/>
      </w:tabs>
      <w:rPr>
        <w:rFonts w:ascii="Times New Roman" w:hAnsi="Times New Roman"/>
      </w:rPr>
    </w:pPr>
    <w:r>
      <w:rPr>
        <w:rFonts w:ascii="Times New Roman" w:hAnsi="Times New Roman"/>
        <w:b/>
      </w:rPr>
      <w:t>SECTION 2</w:t>
    </w:r>
    <w:r>
      <w:rPr>
        <w:rFonts w:ascii="Times New Roman" w:hAnsi="Times New Roman"/>
        <w:b/>
      </w:rPr>
      <w:tab/>
    </w:r>
    <w:r w:rsidR="00EB5588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>ADULT FAMILY CARE SERVICES</w:t>
    </w:r>
    <w:r w:rsidR="00E72A71">
      <w:rPr>
        <w:rFonts w:ascii="Times New Roman" w:hAnsi="Times New Roman"/>
        <w:b/>
      </w:rPr>
      <w:tab/>
    </w:r>
    <w:r w:rsidR="00363F1D">
      <w:rPr>
        <w:rFonts w:ascii="Times New Roman" w:hAnsi="Times New Roman"/>
        <w:b/>
      </w:rPr>
      <w:t xml:space="preserve"> </w:t>
    </w:r>
    <w:r w:rsidR="00E72A71" w:rsidRPr="00A2006E">
      <w:rPr>
        <w:rFonts w:ascii="Times New Roman" w:hAnsi="Times New Roman"/>
      </w:rPr>
      <w:t>Established</w:t>
    </w:r>
    <w:r w:rsidR="00EB5588">
      <w:rPr>
        <w:rFonts w:ascii="Times New Roman" w:hAnsi="Times New Roman"/>
        <w:b/>
      </w:rPr>
      <w:t xml:space="preserve">  </w:t>
    </w:r>
    <w:r w:rsidRPr="00DA1B9A">
      <w:rPr>
        <w:rFonts w:ascii="Times New Roman" w:hAnsi="Times New Roman"/>
      </w:rPr>
      <w:t>May 6, 1996</w:t>
    </w:r>
  </w:p>
  <w:p w:rsidR="003C00EE" w:rsidRPr="009B7463" w:rsidRDefault="00672C66" w:rsidP="000E39A7">
    <w:pPr>
      <w:pStyle w:val="Header"/>
      <w:pBdr>
        <w:left w:val="single" w:sz="4" w:space="4" w:color="auto"/>
      </w:pBdr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E72A71">
      <w:rPr>
        <w:rFonts w:ascii="Times New Roman" w:hAnsi="Times New Roman"/>
      </w:rPr>
      <w:t xml:space="preserve">                                                                                          Updated </w:t>
    </w:r>
    <w:r w:rsidR="00B4398E">
      <w:rPr>
        <w:rFonts w:ascii="Times New Roman" w:hAnsi="Times New Roman"/>
      </w:rPr>
      <w:t>December 24</w:t>
    </w:r>
    <w:r w:rsidR="00363F1D">
      <w:rPr>
        <w:rFonts w:ascii="Times New Roman" w:hAnsi="Times New Roman"/>
      </w:rPr>
      <w:t>, 2019</w:t>
    </w:r>
  </w:p>
  <w:p w:rsidR="003C00EE" w:rsidRDefault="003C00EE" w:rsidP="00E60995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814"/>
    <w:multiLevelType w:val="singleLevel"/>
    <w:tmpl w:val="C2641CDE"/>
    <w:lvl w:ilvl="0">
      <w:start w:val="1"/>
      <w:numFmt w:val="upperLetter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F7"/>
    <w:rsid w:val="000000EA"/>
    <w:rsid w:val="00014CFE"/>
    <w:rsid w:val="00021726"/>
    <w:rsid w:val="00071A0C"/>
    <w:rsid w:val="00075D44"/>
    <w:rsid w:val="00076059"/>
    <w:rsid w:val="00094FDE"/>
    <w:rsid w:val="000B1824"/>
    <w:rsid w:val="000B3331"/>
    <w:rsid w:val="000E39A7"/>
    <w:rsid w:val="000F7456"/>
    <w:rsid w:val="001100EA"/>
    <w:rsid w:val="0011082D"/>
    <w:rsid w:val="00154908"/>
    <w:rsid w:val="001D331D"/>
    <w:rsid w:val="001E7471"/>
    <w:rsid w:val="001F4D58"/>
    <w:rsid w:val="002177C7"/>
    <w:rsid w:val="0024336A"/>
    <w:rsid w:val="00244A1F"/>
    <w:rsid w:val="00251F7F"/>
    <w:rsid w:val="00264655"/>
    <w:rsid w:val="002656A0"/>
    <w:rsid w:val="002877B4"/>
    <w:rsid w:val="002A7A99"/>
    <w:rsid w:val="002D6425"/>
    <w:rsid w:val="00315E28"/>
    <w:rsid w:val="00342E84"/>
    <w:rsid w:val="00363F1D"/>
    <w:rsid w:val="003745DE"/>
    <w:rsid w:val="003870B8"/>
    <w:rsid w:val="00387C70"/>
    <w:rsid w:val="00394672"/>
    <w:rsid w:val="00394FEF"/>
    <w:rsid w:val="003C00EE"/>
    <w:rsid w:val="003E4635"/>
    <w:rsid w:val="003E4BFD"/>
    <w:rsid w:val="004129D9"/>
    <w:rsid w:val="0041726A"/>
    <w:rsid w:val="00424F32"/>
    <w:rsid w:val="00474C55"/>
    <w:rsid w:val="004926FF"/>
    <w:rsid w:val="004B42B6"/>
    <w:rsid w:val="004B446C"/>
    <w:rsid w:val="004C1F90"/>
    <w:rsid w:val="004D0A8C"/>
    <w:rsid w:val="005061F7"/>
    <w:rsid w:val="005113D8"/>
    <w:rsid w:val="00512EC9"/>
    <w:rsid w:val="00522A40"/>
    <w:rsid w:val="0052680D"/>
    <w:rsid w:val="00527E3F"/>
    <w:rsid w:val="005335B9"/>
    <w:rsid w:val="005D1B5D"/>
    <w:rsid w:val="0061639B"/>
    <w:rsid w:val="00670238"/>
    <w:rsid w:val="00672C66"/>
    <w:rsid w:val="006C15A9"/>
    <w:rsid w:val="006C4D3C"/>
    <w:rsid w:val="006D5FB7"/>
    <w:rsid w:val="006E4741"/>
    <w:rsid w:val="00726339"/>
    <w:rsid w:val="00767F42"/>
    <w:rsid w:val="007B101B"/>
    <w:rsid w:val="007B5AE1"/>
    <w:rsid w:val="007B616A"/>
    <w:rsid w:val="007D221E"/>
    <w:rsid w:val="007E22AA"/>
    <w:rsid w:val="008040D6"/>
    <w:rsid w:val="0081113A"/>
    <w:rsid w:val="00826572"/>
    <w:rsid w:val="008502F4"/>
    <w:rsid w:val="00886084"/>
    <w:rsid w:val="008D736C"/>
    <w:rsid w:val="008E40A9"/>
    <w:rsid w:val="00922995"/>
    <w:rsid w:val="009A32D8"/>
    <w:rsid w:val="009B0F12"/>
    <w:rsid w:val="009D1464"/>
    <w:rsid w:val="009E0940"/>
    <w:rsid w:val="009E5FAB"/>
    <w:rsid w:val="00A068D5"/>
    <w:rsid w:val="00A11DDF"/>
    <w:rsid w:val="00A14091"/>
    <w:rsid w:val="00A14B5B"/>
    <w:rsid w:val="00A2006E"/>
    <w:rsid w:val="00A46422"/>
    <w:rsid w:val="00A63507"/>
    <w:rsid w:val="00A644FA"/>
    <w:rsid w:val="00AC3127"/>
    <w:rsid w:val="00AE704E"/>
    <w:rsid w:val="00B4143A"/>
    <w:rsid w:val="00B4398E"/>
    <w:rsid w:val="00B66DBB"/>
    <w:rsid w:val="00B731F9"/>
    <w:rsid w:val="00BA1C2D"/>
    <w:rsid w:val="00BB2AAB"/>
    <w:rsid w:val="00BD6A98"/>
    <w:rsid w:val="00BF7C3B"/>
    <w:rsid w:val="00C02BE9"/>
    <w:rsid w:val="00C22FFE"/>
    <w:rsid w:val="00C25326"/>
    <w:rsid w:val="00C31D2B"/>
    <w:rsid w:val="00C36712"/>
    <w:rsid w:val="00C43ED7"/>
    <w:rsid w:val="00C51B7B"/>
    <w:rsid w:val="00C52FE0"/>
    <w:rsid w:val="00C61ACD"/>
    <w:rsid w:val="00CB6795"/>
    <w:rsid w:val="00CC601D"/>
    <w:rsid w:val="00D14CCE"/>
    <w:rsid w:val="00D512E3"/>
    <w:rsid w:val="00D62E4F"/>
    <w:rsid w:val="00D675B0"/>
    <w:rsid w:val="00D71E23"/>
    <w:rsid w:val="00D94691"/>
    <w:rsid w:val="00DA1B9A"/>
    <w:rsid w:val="00DA5CF2"/>
    <w:rsid w:val="00DB5B93"/>
    <w:rsid w:val="00DC27F2"/>
    <w:rsid w:val="00DD2C57"/>
    <w:rsid w:val="00E04F26"/>
    <w:rsid w:val="00E07A2C"/>
    <w:rsid w:val="00E45193"/>
    <w:rsid w:val="00E5009C"/>
    <w:rsid w:val="00E56EF2"/>
    <w:rsid w:val="00E60995"/>
    <w:rsid w:val="00E6372A"/>
    <w:rsid w:val="00E63E56"/>
    <w:rsid w:val="00E72A71"/>
    <w:rsid w:val="00E77618"/>
    <w:rsid w:val="00E83825"/>
    <w:rsid w:val="00E923DB"/>
    <w:rsid w:val="00EA63CB"/>
    <w:rsid w:val="00EB09A9"/>
    <w:rsid w:val="00EB301D"/>
    <w:rsid w:val="00EB5588"/>
    <w:rsid w:val="00EC431B"/>
    <w:rsid w:val="00ED326C"/>
    <w:rsid w:val="00F00062"/>
    <w:rsid w:val="00F002E8"/>
    <w:rsid w:val="00F17C2B"/>
    <w:rsid w:val="00F71347"/>
    <w:rsid w:val="00F8041D"/>
    <w:rsid w:val="00F83AD5"/>
    <w:rsid w:val="00F94DF7"/>
    <w:rsid w:val="00FB53D8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  <w14:docId w14:val="1B0B2CF4"/>
  <w15:docId w15:val="{0D4C0755-090F-455C-8E0D-D96F86A5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18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napToGrid w:val="0"/>
      <w:color w:val="000000"/>
      <w:sz w:val="22"/>
    </w:rPr>
  </w:style>
  <w:style w:type="paragraph" w:styleId="BodyText2">
    <w:name w:val="Body Text 2"/>
    <w:basedOn w:val="Normal"/>
    <w:rPr>
      <w:sz w:val="22"/>
    </w:rPr>
  </w:style>
  <w:style w:type="paragraph" w:styleId="BlockText">
    <w:name w:val="Block Text"/>
    <w:basedOn w:val="Normal"/>
    <w:pPr>
      <w:ind w:left="270" w:righ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4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5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877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77B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2877B4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877B4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25DE-FBCB-47CF-BCF5-D2A421E4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Interested Parties</vt:lpstr>
    </vt:vector>
  </TitlesOfParts>
  <Company>Maine DHS - Bureau of Medical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Interested Parties</dc:title>
  <dc:creator>Brenda Trussel</dc:creator>
  <cp:lastModifiedBy>Wismer, Don</cp:lastModifiedBy>
  <cp:revision>10</cp:revision>
  <cp:lastPrinted>2016-12-20T15:24:00Z</cp:lastPrinted>
  <dcterms:created xsi:type="dcterms:W3CDTF">2019-02-07T13:35:00Z</dcterms:created>
  <dcterms:modified xsi:type="dcterms:W3CDTF">2020-01-13T20:21:00Z</dcterms:modified>
</cp:coreProperties>
</file>