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C8" w:rsidRPr="00B52AC8" w:rsidRDefault="00B52AC8" w:rsidP="00B52AC8">
      <w:pPr>
        <w:pStyle w:val="DefaultText"/>
        <w:rPr>
          <w:rStyle w:val="InitialStyle"/>
          <w:rFonts w:ascii="Times New Roman" w:hAnsi="Times New Roman"/>
          <w:b/>
          <w:sz w:val="22"/>
          <w:szCs w:val="22"/>
        </w:rPr>
      </w:pPr>
      <w:bookmarkStart w:id="0" w:name="_GoBack"/>
      <w:bookmarkEnd w:id="0"/>
      <w:r w:rsidRPr="00B52AC8">
        <w:rPr>
          <w:rStyle w:val="InitialStyle"/>
          <w:rFonts w:ascii="Times New Roman" w:hAnsi="Times New Roman"/>
          <w:b/>
          <w:sz w:val="22"/>
          <w:szCs w:val="22"/>
        </w:rPr>
        <w:t>65-407</w:t>
      </w:r>
      <w:r w:rsidRPr="00B52AC8">
        <w:rPr>
          <w:rStyle w:val="InitialStyle"/>
          <w:rFonts w:ascii="Times New Roman" w:hAnsi="Times New Roman"/>
          <w:b/>
          <w:sz w:val="22"/>
          <w:szCs w:val="22"/>
        </w:rPr>
        <w:tab/>
      </w:r>
      <w:r w:rsidRPr="00B52AC8">
        <w:rPr>
          <w:rStyle w:val="InitialStyle"/>
          <w:rFonts w:ascii="Times New Roman" w:hAnsi="Times New Roman"/>
          <w:b/>
          <w:sz w:val="22"/>
          <w:szCs w:val="22"/>
        </w:rPr>
        <w:tab/>
        <w:t>PUBLIC UTILITIES COMMISSION</w:t>
      </w:r>
    </w:p>
    <w:p w:rsidR="00B52AC8" w:rsidRPr="00B52AC8" w:rsidRDefault="00B52AC8" w:rsidP="00B52AC8">
      <w:pPr>
        <w:pStyle w:val="DefaultText"/>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b/>
          <w:sz w:val="22"/>
          <w:szCs w:val="22"/>
        </w:rPr>
      </w:pPr>
      <w:r w:rsidRPr="00B52AC8">
        <w:rPr>
          <w:rStyle w:val="InitialStyle"/>
          <w:rFonts w:ascii="Times New Roman" w:hAnsi="Times New Roman"/>
          <w:b/>
          <w:sz w:val="22"/>
          <w:szCs w:val="22"/>
        </w:rPr>
        <w:t>Chapter 306:</w:t>
      </w:r>
      <w:r w:rsidRPr="00B52AC8">
        <w:rPr>
          <w:rStyle w:val="InitialStyle"/>
          <w:rFonts w:ascii="Times New Roman" w:hAnsi="Times New Roman"/>
          <w:b/>
          <w:sz w:val="22"/>
          <w:szCs w:val="22"/>
        </w:rPr>
        <w:tab/>
        <w:t xml:space="preserve">UNIFORM INFORMATION DISCLOSURE </w:t>
      </w:r>
    </w:p>
    <w:p w:rsidR="00B52AC8" w:rsidRPr="00B52AC8" w:rsidRDefault="00B52AC8" w:rsidP="00B52AC8">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r w:rsidRPr="00B52AC8">
        <w:rPr>
          <w:rStyle w:val="InitialStyle"/>
          <w:rFonts w:ascii="Times New Roman" w:hAnsi="Times New Roman"/>
          <w:b/>
          <w:sz w:val="22"/>
          <w:szCs w:val="22"/>
        </w:rPr>
        <w:t>SUMMARY</w:t>
      </w:r>
      <w:r w:rsidRPr="00B52AC8">
        <w:rPr>
          <w:rStyle w:val="InitialStyle"/>
          <w:rFonts w:ascii="Times New Roman" w:hAnsi="Times New Roman"/>
          <w:sz w:val="22"/>
          <w:szCs w:val="22"/>
        </w:rPr>
        <w:t xml:space="preserve">: This Chapter contains requirements for competitive electricity providers to disclose price, contract, resource mix, and emissions information to customers in a uniform format. </w:t>
      </w:r>
    </w:p>
    <w:p w:rsidR="00B52AC8" w:rsidRPr="00B52AC8" w:rsidRDefault="00B52AC8" w:rsidP="00B52AC8">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jc w:val="center"/>
        <w:rPr>
          <w:rStyle w:val="InitialStyle"/>
          <w:rFonts w:ascii="Times New Roman" w:hAnsi="Times New Roman"/>
          <w:b/>
          <w:sz w:val="22"/>
          <w:szCs w:val="22"/>
        </w:rPr>
      </w:pPr>
      <w:r w:rsidRPr="00B52AC8">
        <w:rPr>
          <w:rStyle w:val="InitialStyle"/>
          <w:rFonts w:ascii="Times New Roman" w:hAnsi="Times New Roman"/>
          <w:b/>
          <w:sz w:val="22"/>
          <w:szCs w:val="22"/>
        </w:rPr>
        <w:t>TABLE OF CONTENTS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jc w:val="center"/>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 1</w:t>
      </w:r>
      <w:r w:rsidRPr="00B52AC8">
        <w:rPr>
          <w:rStyle w:val="InitialStyle"/>
          <w:rFonts w:ascii="Times New Roman" w:hAnsi="Times New Roman"/>
          <w:b/>
          <w:sz w:val="22"/>
          <w:szCs w:val="22"/>
        </w:rPr>
        <w:tab/>
        <w:t>DEFINITIONS</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F36678">
        <w:rPr>
          <w:rStyle w:val="InitialStyle"/>
          <w:rFonts w:ascii="Times New Roman" w:hAnsi="Times New Roman"/>
          <w:sz w:val="22"/>
          <w:szCs w:val="22"/>
        </w:rPr>
        <w:t>3</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b/>
          <w:sz w:val="22"/>
          <w:szCs w:val="22"/>
        </w:rPr>
      </w:pPr>
      <w:r w:rsidRPr="00B52AC8">
        <w:rPr>
          <w:rStyle w:val="InitialStyle"/>
          <w:rFonts w:ascii="Times New Roman" w:hAnsi="Times New Roman"/>
          <w:b/>
          <w:sz w:val="22"/>
          <w:szCs w:val="22"/>
        </w:rPr>
        <w:t>§ 2</w:t>
      </w:r>
      <w:r w:rsidRPr="00B52AC8">
        <w:rPr>
          <w:rStyle w:val="InitialStyle"/>
          <w:rFonts w:ascii="Times New Roman" w:hAnsi="Times New Roman"/>
          <w:b/>
          <w:sz w:val="22"/>
          <w:szCs w:val="22"/>
        </w:rPr>
        <w:tab/>
        <w:t xml:space="preserve">UNIFORM INFORMATION DISCLOSURE REQUIREMENTS </w:t>
      </w:r>
      <w:r w:rsidRPr="00B52AC8">
        <w:rPr>
          <w:rStyle w:val="InitialStyle"/>
          <w:rFonts w:ascii="Times New Roman" w:hAnsi="Times New Roman"/>
          <w:sz w:val="22"/>
          <w:szCs w:val="22"/>
        </w:rPr>
        <w:tab/>
        <w:t xml:space="preserve"> </w:t>
      </w:r>
      <w:r w:rsidR="00F36678">
        <w:rPr>
          <w:rStyle w:val="InitialStyle"/>
          <w:rFonts w:ascii="Times New Roman" w:hAnsi="Times New Roman"/>
          <w:bCs/>
          <w:sz w:val="22"/>
          <w:szCs w:val="22"/>
        </w:rPr>
        <w:t>4</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 and Scope</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rsidR="00B52AC8" w:rsidRPr="00B52AC8" w:rsidRDefault="00B52AC8" w:rsidP="00B52AC8">
      <w:pPr>
        <w:pStyle w:val="DefaultText"/>
        <w:numPr>
          <w:ilvl w:val="0"/>
          <w:numId w:val="1"/>
        </w:numPr>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 xml:space="preserve">Scope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rsidR="00B52AC8" w:rsidRPr="00B52AC8" w:rsidRDefault="00B52AC8" w:rsidP="00B52AC8">
      <w:pPr>
        <w:pStyle w:val="DefaultText"/>
        <w:numPr>
          <w:ilvl w:val="0"/>
          <w:numId w:val="1"/>
        </w:numPr>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Applicability</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Information Disclosure Label</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General</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4</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Customer Information</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5</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Resource Portfolio</w:t>
      </w:r>
      <w:r w:rsidR="00D76767">
        <w:rPr>
          <w:rStyle w:val="InitialStyle"/>
          <w:rFonts w:ascii="Times New Roman" w:hAnsi="Times New Roman"/>
          <w:sz w:val="22"/>
          <w:szCs w:val="22"/>
        </w:rPr>
        <w:t xml:space="preserve"> </w:t>
      </w:r>
      <w:r w:rsidR="00D76767">
        <w:rPr>
          <w:rStyle w:val="InitialStyle"/>
          <w:rFonts w:ascii="Times New Roman" w:hAnsi="Times New Roman"/>
          <w:sz w:val="22"/>
          <w:szCs w:val="22"/>
        </w:rPr>
        <w:tab/>
        <w:t xml:space="preserve"> 5</w:t>
      </w:r>
    </w:p>
    <w:p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Determining the resource portfolio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Label reporting period</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Portfolio characteristics</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rsidR="00B52AC8" w:rsidRPr="00B52AC8" w:rsidRDefault="00B52AC8" w:rsidP="00B52AC8">
      <w:pPr>
        <w:pStyle w:val="DefaultText"/>
        <w:tabs>
          <w:tab w:val="left" w:pos="720"/>
          <w:tab w:val="left" w:pos="1440"/>
          <w:tab w:val="left" w:pos="2160"/>
          <w:tab w:val="left" w:pos="288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Disaggregation of resource portfolio</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5</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Fuel Mix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Emissions </w:t>
      </w:r>
      <w:r w:rsidR="005D4991">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br w:type="page"/>
      </w:r>
      <w:r w:rsidRPr="00B52AC8">
        <w:rPr>
          <w:rStyle w:val="InitialStyle"/>
          <w:rFonts w:ascii="Times New Roman" w:hAnsi="Times New Roman"/>
          <w:sz w:val="22"/>
          <w:szCs w:val="22"/>
        </w:rPr>
        <w:lastRenderedPageBreak/>
        <w:tab/>
      </w:r>
      <w:r w:rsidRPr="00B52AC8">
        <w:rPr>
          <w:rStyle w:val="InitialStyle"/>
          <w:rFonts w:ascii="Times New Roman" w:hAnsi="Times New Roman"/>
          <w:sz w:val="22"/>
          <w:szCs w:val="22"/>
        </w:rPr>
        <w:tab/>
        <w:t>6.</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Format of Information Disclosure Label</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7.</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Standard Offer Service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6</w:t>
      </w:r>
    </w:p>
    <w:p w:rsidR="00B52AC8" w:rsidRPr="00B52AC8" w:rsidRDefault="00B52AC8" w:rsidP="005D045B">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Company Disclosure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00676F9C">
        <w:rPr>
          <w:rStyle w:val="InitialStyle"/>
          <w:rFonts w:ascii="Times New Roman" w:hAnsi="Times New Roman"/>
          <w:sz w:val="22"/>
          <w:szCs w:val="22"/>
        </w:rPr>
        <w:t>D</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005D4991">
        <w:rPr>
          <w:rStyle w:val="InitialStyle"/>
          <w:rFonts w:ascii="Times New Roman" w:hAnsi="Times New Roman"/>
          <w:b/>
          <w:sz w:val="22"/>
          <w:szCs w:val="22"/>
        </w:rPr>
        <w:t>Availability</w:t>
      </w:r>
      <w:r w:rsidRPr="00B52AC8">
        <w:rPr>
          <w:rStyle w:val="InitialStyle"/>
          <w:rFonts w:ascii="Times New Roman" w:hAnsi="Times New Roman"/>
          <w:b/>
          <w:sz w:val="22"/>
          <w:szCs w:val="22"/>
        </w:rPr>
        <w:t xml:space="preserve"> of Disclosure Label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Prior to Initiation of Service </w:t>
      </w:r>
      <w:r w:rsidRPr="00B52AC8">
        <w:rPr>
          <w:rStyle w:val="InitialStyle"/>
          <w:rFonts w:ascii="Times New Roman" w:hAnsi="Times New Roman"/>
          <w:sz w:val="22"/>
          <w:szCs w:val="22"/>
        </w:rPr>
        <w:tab/>
      </w:r>
      <w:r w:rsidR="00D76767">
        <w:rPr>
          <w:rStyle w:val="InitialStyle"/>
          <w:rFonts w:ascii="Times New Roman" w:hAnsi="Times New Roman"/>
          <w:sz w:val="22"/>
          <w:szCs w:val="22"/>
        </w:rPr>
        <w:t>7</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After Initiation of Service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Upon request</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Standard offer service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7</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b/>
          <w:sz w:val="22"/>
          <w:szCs w:val="22"/>
        </w:rPr>
      </w:pPr>
      <w:r w:rsidRPr="00B52AC8">
        <w:rPr>
          <w:rStyle w:val="InitialStyle"/>
          <w:rFonts w:ascii="Times New Roman" w:hAnsi="Times New Roman"/>
          <w:sz w:val="22"/>
          <w:szCs w:val="22"/>
        </w:rPr>
        <w:tab/>
      </w:r>
      <w:r w:rsidR="00676F9C">
        <w:rPr>
          <w:rStyle w:val="InitialStyle"/>
          <w:rFonts w:ascii="Times New Roman" w:hAnsi="Times New Roman"/>
          <w:sz w:val="22"/>
          <w:szCs w:val="22"/>
        </w:rPr>
        <w:t>E</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Information Disclosure in Advertising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b/>
          <w:sz w:val="22"/>
          <w:szCs w:val="22"/>
        </w:rPr>
        <w:tab/>
      </w:r>
      <w:r w:rsidR="00676F9C">
        <w:rPr>
          <w:rStyle w:val="InitialStyle"/>
          <w:rFonts w:ascii="Times New Roman" w:hAnsi="Times New Roman"/>
          <w:sz w:val="22"/>
          <w:szCs w:val="22"/>
        </w:rPr>
        <w:t>F</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Enforcement </w:t>
      </w:r>
      <w:r w:rsidRPr="00B52AC8">
        <w:rPr>
          <w:rStyle w:val="InitialStyle"/>
          <w:rFonts w:ascii="Times New Roman" w:hAnsi="Times New Roman"/>
          <w:bCs/>
          <w:sz w:val="22"/>
          <w:szCs w:val="22"/>
        </w:rPr>
        <w:tab/>
        <w:t xml:space="preserve"> </w:t>
      </w:r>
      <w:r w:rsidR="00D76767">
        <w:rPr>
          <w:rStyle w:val="InitialStyle"/>
          <w:rFonts w:ascii="Times New Roman" w:hAnsi="Times New Roman"/>
          <w:sz w:val="22"/>
          <w:szCs w:val="22"/>
        </w:rPr>
        <w:t>8</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00676F9C">
        <w:rPr>
          <w:rStyle w:val="InitialStyle"/>
          <w:rFonts w:ascii="Times New Roman" w:hAnsi="Times New Roman"/>
          <w:sz w:val="22"/>
          <w:szCs w:val="22"/>
        </w:rPr>
        <w:t>G</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Verification; Annual Reporting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Provider Obligation</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Verification Method</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Annual Reports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8</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Additional Information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Audits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6.</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 xml:space="preserve">Rejection of Certificates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7.</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Generation Facilities</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8.</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Confidentiality</w:t>
      </w:r>
      <w:r w:rsidRPr="00B52AC8">
        <w:rPr>
          <w:rStyle w:val="InitialStyle"/>
          <w:rFonts w:ascii="Times New Roman" w:hAnsi="Times New Roman"/>
          <w:sz w:val="22"/>
          <w:szCs w:val="22"/>
        </w:rPr>
        <w:t xml:space="preserve">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rsidR="00B52AC8" w:rsidRPr="00B52AC8" w:rsidRDefault="00B52AC8" w:rsidP="00B52AC8">
      <w:pPr>
        <w:pStyle w:val="DefaultText"/>
        <w:tabs>
          <w:tab w:val="left" w:pos="720"/>
          <w:tab w:val="left" w:pos="1440"/>
          <w:tab w:val="left" w:pos="2160"/>
          <w:tab w:val="right" w:leader="dot" w:pos="9360"/>
        </w:tabs>
        <w:spacing w:line="480" w:lineRule="auto"/>
        <w:rPr>
          <w:rStyle w:val="InitialStyle"/>
          <w:rFonts w:ascii="Times New Roman" w:hAnsi="Times New Roman"/>
          <w:b/>
          <w:sz w:val="22"/>
          <w:szCs w:val="22"/>
        </w:rPr>
      </w:pPr>
      <w:r w:rsidRPr="00B52AC8">
        <w:rPr>
          <w:rStyle w:val="InitialStyle"/>
          <w:rFonts w:ascii="Times New Roman" w:hAnsi="Times New Roman"/>
          <w:b/>
          <w:sz w:val="22"/>
          <w:szCs w:val="22"/>
        </w:rPr>
        <w:t xml:space="preserve">§ </w:t>
      </w:r>
      <w:r w:rsidR="00676F9C">
        <w:rPr>
          <w:rStyle w:val="InitialStyle"/>
          <w:rFonts w:ascii="Times New Roman" w:hAnsi="Times New Roman"/>
          <w:b/>
          <w:sz w:val="22"/>
          <w:szCs w:val="22"/>
        </w:rPr>
        <w:t>3</w:t>
      </w:r>
      <w:r w:rsidRPr="00B52AC8">
        <w:rPr>
          <w:rStyle w:val="InitialStyle"/>
          <w:rFonts w:ascii="Times New Roman" w:hAnsi="Times New Roman"/>
          <w:b/>
          <w:sz w:val="22"/>
          <w:szCs w:val="22"/>
        </w:rPr>
        <w:tab/>
        <w:t xml:space="preserve">WAIVER OR EXEMPTION </w:t>
      </w:r>
      <w:r w:rsidRPr="00B52AC8">
        <w:rPr>
          <w:rStyle w:val="InitialStyle"/>
          <w:rFonts w:ascii="Times New Roman" w:hAnsi="Times New Roman"/>
          <w:sz w:val="22"/>
          <w:szCs w:val="22"/>
        </w:rPr>
        <w:tab/>
        <w:t xml:space="preserve"> </w:t>
      </w:r>
      <w:r w:rsidR="00D76767">
        <w:rPr>
          <w:rStyle w:val="InitialStyle"/>
          <w:rFonts w:ascii="Times New Roman" w:hAnsi="Times New Roman"/>
          <w:sz w:val="22"/>
          <w:szCs w:val="22"/>
        </w:rPr>
        <w:t>9</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b/>
          <w:sz w:val="22"/>
          <w:szCs w:val="22"/>
        </w:rPr>
        <w:br w:type="page"/>
      </w:r>
      <w:proofErr w:type="gramStart"/>
      <w:r w:rsidRPr="00B52AC8">
        <w:rPr>
          <w:rStyle w:val="InitialStyle"/>
          <w:rFonts w:ascii="Times New Roman" w:hAnsi="Times New Roman"/>
          <w:b/>
          <w:sz w:val="22"/>
          <w:szCs w:val="22"/>
        </w:rPr>
        <w:t>§ 1</w:t>
      </w:r>
      <w:r w:rsidRPr="00B52AC8">
        <w:rPr>
          <w:rStyle w:val="InitialStyle"/>
          <w:rFonts w:ascii="Times New Roman" w:hAnsi="Times New Roman"/>
          <w:b/>
          <w:sz w:val="22"/>
          <w:szCs w:val="22"/>
        </w:rPr>
        <w:tab/>
        <w:t>DEFINITIONS</w:t>
      </w:r>
      <w:proofErr w:type="gramEnd"/>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Aggregate</w:t>
      </w:r>
      <w:r w:rsidRPr="00B52AC8">
        <w:rPr>
          <w:rStyle w:val="InitialStyle"/>
          <w:rFonts w:ascii="Times New Roman" w:hAnsi="Times New Roman"/>
          <w:sz w:val="22"/>
          <w:szCs w:val="22"/>
        </w:rPr>
        <w:t>. "Aggregate" means to organize individual electricity consumers into a group or entity for the purpose of purchasing electricity on a group basis.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E351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right="180" w:hanging="1440"/>
        <w:rPr>
          <w:rStyle w:val="InitialStyle"/>
          <w:rFonts w:ascii="Times New Roman" w:hAnsi="Times New Roman"/>
          <w:sz w:val="22"/>
          <w:szCs w:val="22"/>
        </w:rPr>
      </w:pP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Aggregator</w:t>
      </w:r>
      <w:r w:rsidRPr="00B52AC8">
        <w:rPr>
          <w:rStyle w:val="InitialStyle"/>
          <w:rFonts w:ascii="Times New Roman" w:hAnsi="Times New Roman"/>
          <w:sz w:val="22"/>
          <w:szCs w:val="22"/>
        </w:rPr>
        <w:t>. "Aggregator"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Broker</w:t>
      </w:r>
      <w:r w:rsidRPr="00B52AC8">
        <w:rPr>
          <w:rStyle w:val="InitialStyle"/>
          <w:rFonts w:ascii="Times New Roman" w:hAnsi="Times New Roman"/>
          <w:sz w:val="22"/>
          <w:szCs w:val="22"/>
        </w:rPr>
        <w:t>. "Broker" means an entity that acts as an agent or intermediary in the sale and purchase of electricity but that does not take title to electricity, provided such entity is not engaged in the purchase or resale of electricity directly with a competitive electricity provider, and provided further that such customers contract for electricity directly with a competitive electricity provider.</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Commission</w:t>
      </w:r>
      <w:r w:rsidRPr="00B52AC8">
        <w:rPr>
          <w:rStyle w:val="InitialStyle"/>
          <w:rFonts w:ascii="Times New Roman" w:hAnsi="Times New Roman"/>
          <w:sz w:val="22"/>
          <w:szCs w:val="22"/>
        </w:rPr>
        <w:t>. "Commission" means the Maine Public Utilities Commission.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E.</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Competitive Electricity Provider</w:t>
      </w:r>
      <w:r w:rsidRPr="00B52AC8">
        <w:rPr>
          <w:rStyle w:val="InitialStyle"/>
          <w:rFonts w:ascii="Times New Roman" w:hAnsi="Times New Roman"/>
          <w:sz w:val="22"/>
          <w:szCs w:val="22"/>
        </w:rPr>
        <w:t>. "Competitive electricity provider" means a marketer, broker, aggregator, and any entity selling electricity to the public at retail.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F.</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Customer</w:t>
      </w:r>
      <w:r w:rsidRPr="00B52AC8">
        <w:rPr>
          <w:rStyle w:val="InitialStyle"/>
          <w:rFonts w:ascii="Times New Roman" w:hAnsi="Times New Roman"/>
          <w:sz w:val="22"/>
          <w:szCs w:val="22"/>
        </w:rPr>
        <w:t>. "Customer" means any person who has applied for, been accepted or is receiving generation service from a competitive electricity provider for retail use. This term includes an applicant to a competitive electricity provider when the context so indicates.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G.</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Generation Service</w:t>
      </w:r>
      <w:r w:rsidRPr="00B52AC8">
        <w:rPr>
          <w:rStyle w:val="InitialStyle"/>
          <w:rFonts w:ascii="Times New Roman" w:hAnsi="Times New Roman"/>
          <w:sz w:val="22"/>
          <w:szCs w:val="22"/>
        </w:rPr>
        <w:t>. "Generation service" means the provision of electric power to a retail customer through a transmission and distribution utility but does not encompass any activity related to the transmission or distribution of that power.</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s>
        <w:ind w:left="1440" w:hanging="1440"/>
        <w:rPr>
          <w:sz w:val="22"/>
          <w:szCs w:val="22"/>
        </w:rPr>
      </w:pPr>
      <w:r w:rsidRPr="00B52AC8">
        <w:rPr>
          <w:rStyle w:val="InitialStyle"/>
          <w:rFonts w:ascii="Times New Roman" w:hAnsi="Times New Roman"/>
          <w:sz w:val="22"/>
          <w:szCs w:val="22"/>
        </w:rPr>
        <w:tab/>
        <w:t>H</w:t>
      </w:r>
      <w:r w:rsidRPr="00B52AC8">
        <w:rPr>
          <w:sz w:val="22"/>
          <w:szCs w:val="22"/>
        </w:rPr>
        <w:t>.</w:t>
      </w:r>
      <w:r w:rsidRPr="00B52AC8">
        <w:rPr>
          <w:sz w:val="22"/>
          <w:szCs w:val="22"/>
        </w:rPr>
        <w:tab/>
      </w:r>
      <w:r w:rsidRPr="00B52AC8">
        <w:rPr>
          <w:b/>
          <w:sz w:val="22"/>
          <w:szCs w:val="22"/>
        </w:rPr>
        <w:t>GIS</w:t>
      </w:r>
      <w:r w:rsidRPr="00B52AC8">
        <w:rPr>
          <w:sz w:val="22"/>
          <w:szCs w:val="22"/>
        </w:rPr>
        <w:t>. “GIS” means the NEPOOL Generation Information System or successor system.</w:t>
      </w:r>
    </w:p>
    <w:p w:rsidR="00B52AC8" w:rsidRPr="00B52AC8" w:rsidRDefault="00B52AC8" w:rsidP="00B52AC8">
      <w:pPr>
        <w:pStyle w:val="DefaultText"/>
        <w:tabs>
          <w:tab w:val="left" w:pos="720"/>
        </w:tabs>
        <w:ind w:left="1440" w:hanging="1440"/>
        <w:rPr>
          <w:sz w:val="22"/>
          <w:szCs w:val="22"/>
        </w:rPr>
      </w:pPr>
    </w:p>
    <w:p w:rsidR="00B52AC8" w:rsidRPr="00B52AC8" w:rsidRDefault="00B52AC8" w:rsidP="00B52AC8">
      <w:pPr>
        <w:pStyle w:val="DefaultText"/>
        <w:tabs>
          <w:tab w:val="left" w:pos="720"/>
        </w:tabs>
        <w:ind w:left="1440" w:hanging="1440"/>
        <w:rPr>
          <w:sz w:val="22"/>
          <w:szCs w:val="22"/>
        </w:rPr>
      </w:pPr>
      <w:r w:rsidRPr="00B52AC8">
        <w:rPr>
          <w:sz w:val="22"/>
          <w:szCs w:val="22"/>
        </w:rPr>
        <w:tab/>
        <w:t>I.</w:t>
      </w:r>
      <w:r w:rsidRPr="00B52AC8">
        <w:rPr>
          <w:sz w:val="22"/>
          <w:szCs w:val="22"/>
        </w:rPr>
        <w:tab/>
      </w:r>
      <w:r w:rsidRPr="00B52AC8">
        <w:rPr>
          <w:b/>
          <w:sz w:val="22"/>
          <w:szCs w:val="22"/>
        </w:rPr>
        <w:t>GIS Certificates</w:t>
      </w:r>
      <w:r w:rsidRPr="00B52AC8">
        <w:rPr>
          <w:sz w:val="22"/>
          <w:szCs w:val="22"/>
        </w:rPr>
        <w:t>. “GIS certificates” mean certificates created pursuant to the NEPOOL Generation Information System that represent attributes of electric power and that may be traded separately from the energy commodity.</w:t>
      </w:r>
    </w:p>
    <w:p w:rsidR="00B52AC8" w:rsidRPr="00B52AC8" w:rsidRDefault="00B52AC8" w:rsidP="00B52AC8">
      <w:pPr>
        <w:pStyle w:val="DefaultText"/>
        <w:tabs>
          <w:tab w:val="left" w:pos="720"/>
        </w:tabs>
        <w:ind w:left="1440" w:hanging="1440"/>
        <w:rPr>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J.</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ISO-NE</w:t>
      </w:r>
      <w:r w:rsidRPr="00B52AC8">
        <w:rPr>
          <w:rStyle w:val="InitialStyle"/>
          <w:rFonts w:ascii="Times New Roman" w:hAnsi="Times New Roman"/>
          <w:sz w:val="22"/>
          <w:szCs w:val="22"/>
        </w:rPr>
        <w:t xml:space="preserve">. "ISO-NE" means the Independent System Operator of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bulk power system or successor organization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K.</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ISO-NE Control Area</w:t>
      </w:r>
      <w:r w:rsidRPr="00B52AC8">
        <w:rPr>
          <w:rStyle w:val="InitialStyle"/>
          <w:rFonts w:ascii="Times New Roman" w:hAnsi="Times New Roman"/>
          <w:sz w:val="22"/>
          <w:szCs w:val="22"/>
        </w:rPr>
        <w:t xml:space="preserve">. “ISO-NE control area” means the area in which the ISO-NE operates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bulk power system.</w:t>
      </w:r>
    </w:p>
    <w:p w:rsidR="007E2CA4" w:rsidRDefault="007E2CA4"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9B1660"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Pr>
          <w:rStyle w:val="InitialStyle"/>
          <w:rFonts w:ascii="Times New Roman" w:hAnsi="Times New Roman"/>
          <w:sz w:val="22"/>
          <w:szCs w:val="22"/>
        </w:rPr>
        <w:br w:type="page"/>
      </w:r>
      <w:r w:rsidR="00B52AC8" w:rsidRPr="00B52AC8">
        <w:rPr>
          <w:rStyle w:val="InitialStyle"/>
          <w:rFonts w:ascii="Times New Roman" w:hAnsi="Times New Roman"/>
          <w:sz w:val="22"/>
          <w:szCs w:val="22"/>
        </w:rPr>
        <w:tab/>
      </w:r>
      <w:proofErr w:type="gramStart"/>
      <w:r w:rsidR="00B52AC8" w:rsidRPr="00B52AC8">
        <w:rPr>
          <w:rStyle w:val="InitialStyle"/>
          <w:rFonts w:ascii="Times New Roman" w:hAnsi="Times New Roman"/>
          <w:sz w:val="22"/>
          <w:szCs w:val="22"/>
        </w:rPr>
        <w:t>L.</w:t>
      </w:r>
      <w:r w:rsidR="00B52AC8" w:rsidRPr="00B52AC8">
        <w:rPr>
          <w:rStyle w:val="InitialStyle"/>
          <w:rFonts w:ascii="Times New Roman" w:hAnsi="Times New Roman"/>
          <w:sz w:val="22"/>
          <w:szCs w:val="22"/>
        </w:rPr>
        <w:tab/>
      </w:r>
      <w:r w:rsidR="00B52AC8" w:rsidRPr="00B52AC8">
        <w:rPr>
          <w:rStyle w:val="InitialStyle"/>
          <w:rFonts w:ascii="Times New Roman" w:hAnsi="Times New Roman"/>
          <w:b/>
          <w:sz w:val="22"/>
          <w:szCs w:val="22"/>
        </w:rPr>
        <w:t>Maritimes Control Area</w:t>
      </w:r>
      <w:r w:rsidR="00B52AC8" w:rsidRPr="00B52AC8">
        <w:rPr>
          <w:rStyle w:val="InitialStyle"/>
          <w:rFonts w:ascii="Times New Roman" w:hAnsi="Times New Roman"/>
          <w:sz w:val="22"/>
          <w:szCs w:val="22"/>
        </w:rPr>
        <w:t>.</w:t>
      </w:r>
      <w:proofErr w:type="gramEnd"/>
      <w:r w:rsidR="00B52AC8" w:rsidRPr="00B52AC8">
        <w:rPr>
          <w:rStyle w:val="InitialStyle"/>
          <w:rFonts w:ascii="Times New Roman" w:hAnsi="Times New Roman"/>
          <w:sz w:val="22"/>
          <w:szCs w:val="22"/>
        </w:rPr>
        <w:t xml:space="preserve"> "Maritimes control area" means the area in which the New Brunswick Power Corporation operates the Maritimes bulk power system.</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M.</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Residential and Small Commercial Customers</w:t>
      </w:r>
      <w:r w:rsidRPr="00B52AC8">
        <w:rPr>
          <w:rStyle w:val="InitialStyle"/>
          <w:rFonts w:ascii="Times New Roman" w:hAnsi="Times New Roman"/>
          <w:sz w:val="22"/>
          <w:szCs w:val="22"/>
        </w:rPr>
        <w:t>. “Residential and small commercial customers” means customers subject to the consumer protection provisions in Chapter 305, section 4 of the Commission’s rules.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N.</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Standard Offer Provider</w:t>
      </w:r>
      <w:r w:rsidRPr="00B52AC8">
        <w:rPr>
          <w:rStyle w:val="InitialStyle"/>
          <w:rFonts w:ascii="Times New Roman" w:hAnsi="Times New Roman"/>
          <w:sz w:val="22"/>
          <w:szCs w:val="22"/>
        </w:rPr>
        <w:t>. “Standard Offer Provider" means a provider of standard offer service chosen pursuant to Chapter 301 of the Commission's rules.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t>O.</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Transmission and distribution utility</w:t>
      </w:r>
      <w:r w:rsidRPr="00B52AC8">
        <w:rPr>
          <w:rStyle w:val="InitialStyle"/>
          <w:rFonts w:ascii="Times New Roman" w:hAnsi="Times New Roman"/>
          <w:sz w:val="22"/>
          <w:szCs w:val="22"/>
        </w:rPr>
        <w:t>. "Transmission and distribution utility" means a person, its lessees, trustees, receivers or trustees appointed by a court, owning, controlling, operating or managing a transmission and distribution plant for compensation within the State.</w:t>
      </w:r>
    </w:p>
    <w:p w:rsidR="00E3510C" w:rsidRPr="00B52AC8" w:rsidRDefault="00E3510C"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hanging="1440"/>
        <w:rPr>
          <w:rStyle w:val="InitialStyle"/>
          <w:rFonts w:ascii="Times New Roman" w:hAnsi="Times New Roman"/>
          <w:sz w:val="22"/>
          <w:szCs w:val="22"/>
        </w:rPr>
      </w:pPr>
    </w:p>
    <w:p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b/>
          <w:sz w:val="22"/>
          <w:szCs w:val="22"/>
        </w:rPr>
        <w:t>§ 2</w:t>
      </w:r>
      <w:r w:rsidRPr="00B52AC8">
        <w:rPr>
          <w:rStyle w:val="InitialStyle"/>
          <w:rFonts w:ascii="Times New Roman" w:hAnsi="Times New Roman"/>
          <w:b/>
          <w:sz w:val="22"/>
          <w:szCs w:val="22"/>
        </w:rPr>
        <w:tab/>
        <w:t>UNIFORM INFORMATION DISCLOSURE REQUIREMENTS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 and Scope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Purpose</w:t>
      </w:r>
      <w:r w:rsidRPr="00B52AC8">
        <w:rPr>
          <w:rStyle w:val="InitialStyle"/>
          <w:rFonts w:ascii="Times New Roman" w:hAnsi="Times New Roman"/>
          <w:sz w:val="22"/>
          <w:szCs w:val="22"/>
        </w:rPr>
        <w:t>. The purpose of this section is to ensure that customers have access to consistent, accurate, and meaningful information by which to evaluate services offered by competitive electricity providers.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Scope</w:t>
      </w:r>
      <w:r w:rsidRPr="00B52AC8">
        <w:rPr>
          <w:rStyle w:val="InitialStyle"/>
          <w:rFonts w:ascii="Times New Roman" w:hAnsi="Times New Roman"/>
          <w:sz w:val="22"/>
          <w:szCs w:val="22"/>
        </w:rPr>
        <w:t>. This section applies to competitive electricity providers, including standard offer providers, as specified in this section, except that this section does not apply to aggregators and brokers.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Applicability</w:t>
      </w:r>
      <w:r w:rsidRPr="00B52AC8">
        <w:rPr>
          <w:rStyle w:val="InitialStyle"/>
          <w:rFonts w:ascii="Times New Roman" w:hAnsi="Times New Roman"/>
          <w:sz w:val="22"/>
          <w:szCs w:val="22"/>
        </w:rPr>
        <w:t>. This section applies only to generation service to residential and small commercial consumers. For purposes of this provision, residential and small commercial consumers are consumers subject to the customer protection provisions in Chapter 305, section 4 of the Commission’s rules. Upon the request of customers that are not residential or small commercial customers, competitive electricity providers shall make available information comparable to that required by this section.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Information Disclosure Label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right="-18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General</w:t>
      </w:r>
      <w:r w:rsidRPr="00B52AC8">
        <w:rPr>
          <w:rStyle w:val="InitialStyle"/>
          <w:rFonts w:ascii="Times New Roman" w:hAnsi="Times New Roman"/>
          <w:sz w:val="22"/>
          <w:szCs w:val="22"/>
        </w:rPr>
        <w:t>. Each competitive electricity provider shall prepare a label for each price or product offering in a form that is consistent with the current format established pursuant to section 2(B)(6). The label shall present information in accordance with this subsection, and shall conform to all applicable state rules and regulations. The label shall be made available in accordance with section 2(E).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920"/>
          <w:tab w:val="left" w:pos="11664"/>
          <w:tab w:val="left" w:pos="11665"/>
        </w:tabs>
        <w:ind w:left="2160" w:right="-72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Customer Information</w:t>
      </w:r>
      <w:r w:rsidRPr="00B52AC8">
        <w:rPr>
          <w:rStyle w:val="InitialStyle"/>
          <w:rFonts w:ascii="Times New Roman" w:hAnsi="Times New Roman"/>
          <w:sz w:val="22"/>
          <w:szCs w:val="22"/>
        </w:rPr>
        <w:t>. The label shall contain a toll-free number of the competitive electricity provider for customer inquiries regarding the information displayed on the label. The competitive electricity provider customer representatives must have sufficient knowledge of the contents of the label to respond to reasonable customer inquiries.</w:t>
      </w:r>
    </w:p>
    <w:p w:rsidR="00B52AC8" w:rsidRPr="00B52AC8" w:rsidRDefault="009B1660"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Pr>
          <w:rStyle w:val="InitialStyle"/>
          <w:rFonts w:ascii="Times New Roman" w:hAnsi="Times New Roman"/>
          <w:sz w:val="22"/>
          <w:szCs w:val="22"/>
        </w:rPr>
        <w:br w:type="page"/>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Resource Portfolio</w:t>
      </w:r>
      <w:r w:rsidRPr="00B52AC8">
        <w:rPr>
          <w:rStyle w:val="InitialStyle"/>
          <w:rFonts w:ascii="Times New Roman" w:hAnsi="Times New Roman"/>
          <w:sz w:val="22"/>
          <w:szCs w:val="22"/>
        </w:rPr>
        <w:t>. The label shall contain information on the fuel mix and emissions characteristics associated with the competitive electricity provider's resource portfolio.</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9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Determining the resource portfolio.</w:t>
      </w:r>
      <w:r w:rsidRPr="00B52AC8">
        <w:rPr>
          <w:rStyle w:val="InitialStyle"/>
          <w:rFonts w:ascii="Times New Roman" w:hAnsi="Times New Roman"/>
          <w:sz w:val="22"/>
          <w:szCs w:val="22"/>
        </w:rPr>
        <w:t xml:space="preserve"> Unless otherwise specified in this Chapter, for service within the ISO-NE control area, the resource portfolio of a competitive electricity provider shall be determined based on GIS certificates. For purposes of this provision, each competitive provider shall have a Maine GIS sub-account. For service within the Maritimes control area, the resource portfolio of a competitive electricity provider shall be determined using market settlement data or other relevant market </w:t>
      </w:r>
      <w:proofErr w:type="gramStart"/>
      <w:r w:rsidRPr="00B52AC8">
        <w:rPr>
          <w:rStyle w:val="InitialStyle"/>
          <w:rFonts w:ascii="Times New Roman" w:hAnsi="Times New Roman"/>
          <w:sz w:val="22"/>
          <w:szCs w:val="22"/>
        </w:rPr>
        <w:t>data, that</w:t>
      </w:r>
      <w:proofErr w:type="gramEnd"/>
      <w:r w:rsidRPr="00B52AC8">
        <w:rPr>
          <w:rStyle w:val="InitialStyle"/>
          <w:rFonts w:ascii="Times New Roman" w:hAnsi="Times New Roman"/>
          <w:sz w:val="22"/>
          <w:szCs w:val="22"/>
        </w:rPr>
        <w:t xml:space="preserve"> match generating resources of a provider to the load obligation of that provider no less frequently than on a 12-month basis. For purposes of this section, a competitive electricity provider must combine resources used for service in the ISO-NE control area and the Maritimes control area into a single resource portfolio unless the provider disaggregates its resource portfolio pursuant to section 2(B)(4)(d).</w:t>
      </w:r>
    </w:p>
    <w:p w:rsidR="00B52AC8" w:rsidRPr="00B52AC8" w:rsidRDefault="00B52AC8" w:rsidP="00B52AC8">
      <w:pPr>
        <w:pStyle w:val="DefaultText"/>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Label reporting period</w:t>
      </w:r>
      <w:r w:rsidRPr="00B52AC8">
        <w:rPr>
          <w:rStyle w:val="InitialStyle"/>
          <w:rFonts w:ascii="Times New Roman" w:hAnsi="Times New Roman"/>
          <w:sz w:val="22"/>
          <w:szCs w:val="22"/>
        </w:rPr>
        <w:t xml:space="preserve">. The label reporting period shall be stated on the label. Except as otherwise provided, the label reporting period shall be the most recent 12-month period for which the necessary information is available. If a competitive electricity provider has not operated in </w:t>
      </w:r>
      <w:smartTag w:uri="urn:schemas-microsoft-com:office:smarttags" w:element="State">
        <w:smartTag w:uri="urn:schemas-microsoft-com:office:smarttags" w:element="place">
          <w:r w:rsidRPr="00B52AC8">
            <w:rPr>
              <w:rStyle w:val="InitialStyle"/>
              <w:rFonts w:ascii="Times New Roman" w:hAnsi="Times New Roman"/>
              <w:sz w:val="22"/>
              <w:szCs w:val="22"/>
            </w:rPr>
            <w:t>Maine</w:t>
          </w:r>
        </w:smartTag>
      </w:smartTag>
      <w:r w:rsidRPr="00B52AC8">
        <w:rPr>
          <w:rStyle w:val="InitialStyle"/>
          <w:rFonts w:ascii="Times New Roman" w:hAnsi="Times New Roman"/>
          <w:sz w:val="22"/>
          <w:szCs w:val="22"/>
        </w:rPr>
        <w:t xml:space="preserve"> for a long enough period to have 12-months of the necessary information available, but has operated such that more than 3-months of necessary information is available, the reporting period shall be the period for which the necessary information is available. If a competitive electricity provider has not operated in Maine for a long enough period to have more than 3-months of necessary information available, the competitive electricity provider shall report a reasonable projection of the resource portfolio and associated emissions characteristics that will be used to serve load in Maine over the following 12-month period.</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Portfolio characteristics</w:t>
      </w:r>
      <w:r w:rsidRPr="00B52AC8">
        <w:rPr>
          <w:rStyle w:val="InitialStyle"/>
          <w:rFonts w:ascii="Times New Roman" w:hAnsi="Times New Roman"/>
          <w:sz w:val="22"/>
          <w:szCs w:val="22"/>
        </w:rPr>
        <w:t>. For service within the ISO-NE control area, fuel mix and emission characteristics shall be determined based on GIS certificates. For service within the Maritimes control area, fuel mix and emission characteristics shall be those associated with generating units for unit specific entitlements or contracts and the system mix for system entitlements or contracts.</w:t>
      </w:r>
    </w:p>
    <w:p w:rsidR="007E2CA4" w:rsidRDefault="007E2CA4"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9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9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Disaggregation of resource portfolio</w:t>
      </w:r>
      <w:r w:rsidRPr="00B52AC8">
        <w:rPr>
          <w:rStyle w:val="InitialStyle"/>
          <w:rFonts w:ascii="Times New Roman" w:hAnsi="Times New Roman"/>
          <w:sz w:val="22"/>
          <w:szCs w:val="22"/>
        </w:rPr>
        <w:t>. A competitive electricity provider may disaggregate its resource portfolio into segments or products and provide or make available differentiated labels to particular customer groups. For service within the ISO-NE control area, a competitive electricity provider must verify the disaggregation through a separate GIS sub-account for the disaggregated segment or product. For service within the Maritimes control area, a competitive electricity provider shall be required to demonstrate to the Commission’s satisfaction that its disaggregation is based on data that can be verified.</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Fuel Mix</w:t>
      </w:r>
      <w:r w:rsidRPr="00B52AC8">
        <w:rPr>
          <w:rStyle w:val="InitialStyle"/>
          <w:rFonts w:ascii="Times New Roman" w:hAnsi="Times New Roman"/>
          <w:sz w:val="22"/>
          <w:szCs w:val="22"/>
        </w:rPr>
        <w:t>. Each competitive electricity provider shall include on the label a list of each fuel sources in its resource portfolio and their corresponding percentages within the fuel mix. The following fuel sources shall be separately identified on the label: biomass (includes landfill gas), coal, fossil fuel cogeneration, fuel cells, geothermal, hydro, municipal solid waste, natural gas, nuclear, oil, solar, tidal power, wind. The fuel mix shall be displayed in a format substantially similar to the sample label adopted by the Commission or the Commission’s Director of Electric and Gas Industries pursuant to section 2(B)(6).</w:t>
      </w:r>
    </w:p>
    <w:p w:rsidR="00B52AC8" w:rsidRPr="00B52AC8" w:rsidRDefault="00B52AC8" w:rsidP="00B52AC8">
      <w:pPr>
        <w:pStyle w:val="DefaultText"/>
        <w:tabs>
          <w:tab w:val="left" w:pos="-270"/>
          <w:tab w:val="left" w:pos="720"/>
          <w:tab w:val="left" w:pos="1440"/>
          <w:tab w:val="left" w:pos="216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Emissions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t>The following emissions shall be separately identified on the label: carbon dioxide (CO</w:t>
      </w:r>
      <w:r w:rsidRPr="00B52AC8">
        <w:rPr>
          <w:rStyle w:val="InitialStyle"/>
          <w:rFonts w:ascii="Times New Roman" w:hAnsi="Times New Roman"/>
          <w:sz w:val="22"/>
          <w:szCs w:val="22"/>
          <w:vertAlign w:val="subscript"/>
        </w:rPr>
        <w:t>2</w:t>
      </w:r>
      <w:r w:rsidRPr="00B52AC8">
        <w:rPr>
          <w:rStyle w:val="InitialStyle"/>
          <w:rFonts w:ascii="Times New Roman" w:hAnsi="Times New Roman"/>
          <w:sz w:val="22"/>
          <w:szCs w:val="22"/>
        </w:rPr>
        <w:t>), nitrogen oxides (NO</w:t>
      </w:r>
      <w:r w:rsidRPr="00B52AC8">
        <w:rPr>
          <w:rStyle w:val="InitialStyle"/>
          <w:rFonts w:ascii="Times New Roman" w:hAnsi="Times New Roman"/>
          <w:sz w:val="22"/>
          <w:szCs w:val="22"/>
          <w:vertAlign w:val="subscript"/>
        </w:rPr>
        <w:t>x</w:t>
      </w:r>
      <w:r w:rsidRPr="00B52AC8">
        <w:rPr>
          <w:rStyle w:val="InitialStyle"/>
          <w:rFonts w:ascii="Times New Roman" w:hAnsi="Times New Roman"/>
          <w:sz w:val="22"/>
          <w:szCs w:val="22"/>
        </w:rPr>
        <w:t>), and sulfur dioxide (SO</w:t>
      </w:r>
      <w:r w:rsidRPr="00B52AC8">
        <w:rPr>
          <w:rStyle w:val="InitialStyle"/>
          <w:rFonts w:ascii="Times New Roman" w:hAnsi="Times New Roman"/>
          <w:sz w:val="22"/>
          <w:szCs w:val="22"/>
          <w:vertAlign w:val="subscript"/>
        </w:rPr>
        <w:t>2</w:t>
      </w:r>
      <w:r w:rsidRPr="00B52AC8">
        <w:rPr>
          <w:rStyle w:val="InitialStyle"/>
          <w:rFonts w:ascii="Times New Roman" w:hAnsi="Times New Roman"/>
          <w:sz w:val="22"/>
          <w:szCs w:val="22"/>
        </w:rPr>
        <w:t>). The Commission may determine by order that additional emissions should be included on the label.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t xml:space="preserve">Emissions for each emission category shall be computed as an annual average emission rate in pounds per megawatt-hour over the label reporting period. For each emission category, the emission rate of the resource portfolio shall be compared to a reference emission rate. For service within the ISO-NE control area, the reference emission rate shall be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regional average emission rate as determined by the GIS. For service within the Maritimes control area, the reference emission rate shall be the regional average emission rate in the Maritimes control area. In the event this emission rate is not readily available, the </w:t>
      </w:r>
      <w:smartTag w:uri="urn:schemas-microsoft-com:office:smarttags" w:element="place">
        <w:r w:rsidRPr="00B52AC8">
          <w:rPr>
            <w:rStyle w:val="InitialStyle"/>
            <w:rFonts w:ascii="Times New Roman" w:hAnsi="Times New Roman"/>
            <w:sz w:val="22"/>
            <w:szCs w:val="22"/>
          </w:rPr>
          <w:t>New England</w:t>
        </w:r>
      </w:smartTag>
      <w:r w:rsidRPr="00B52AC8">
        <w:rPr>
          <w:rStyle w:val="InitialStyle"/>
          <w:rFonts w:ascii="Times New Roman" w:hAnsi="Times New Roman"/>
          <w:sz w:val="22"/>
          <w:szCs w:val="22"/>
        </w:rPr>
        <w:t xml:space="preserve"> regional average emission rate as determined by the GIS may be used.</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t>Unless otherwise specified in this Chapter, for service within the ISO-NE control area, the emission characteristics of the resource portfolio shall be determined based on GIS certificates. For service within the Maritimes control area, the emission characteristics of the resource portfolio shall be calculated using the most accurate available data.</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880" w:right="-36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t>The Commission may determine by Order that CO</w:t>
      </w:r>
      <w:r w:rsidRPr="00B52AC8">
        <w:rPr>
          <w:rStyle w:val="InitialStyle"/>
          <w:rFonts w:ascii="Times New Roman" w:hAnsi="Times New Roman"/>
          <w:sz w:val="22"/>
          <w:szCs w:val="22"/>
          <w:vertAlign w:val="subscript"/>
        </w:rPr>
        <w:t>2</w:t>
      </w:r>
      <w:r w:rsidRPr="00B52AC8">
        <w:rPr>
          <w:rStyle w:val="InitialStyle"/>
          <w:rFonts w:ascii="Times New Roman" w:hAnsi="Times New Roman"/>
          <w:sz w:val="22"/>
          <w:szCs w:val="22"/>
        </w:rPr>
        <w:t xml:space="preserve"> emitted by individual facilities or categories of facilities may be offset so that lower emission amounts or zero emissions may be displayed on the label.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6.</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Format of Information Disclosure Label.</w:t>
      </w:r>
      <w:r w:rsidRPr="00B52AC8">
        <w:rPr>
          <w:rStyle w:val="InitialStyle"/>
          <w:rFonts w:ascii="Times New Roman" w:hAnsi="Times New Roman"/>
          <w:sz w:val="22"/>
          <w:szCs w:val="22"/>
        </w:rPr>
        <w:t xml:space="preserve"> The label shall be presented in a format substantially similar to the sample label</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adopted by the Commission or the Commission’s Director of Electric and Gas Industries.</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The Commission or the Commission’s Director of Electric and Gas Industries will establish and may change the format of the information disclosure label by order.</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Upon petition by a competitive electricity provider, the Commission or the Commission’s Director of Electric and Gas Industries may approve a format that is different from the sample label.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7.</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Standard Offer Service</w:t>
      </w:r>
      <w:r w:rsidRPr="00B52AC8">
        <w:rPr>
          <w:rStyle w:val="InitialStyle"/>
          <w:rFonts w:ascii="Times New Roman" w:hAnsi="Times New Roman"/>
          <w:sz w:val="22"/>
          <w:szCs w:val="22"/>
        </w:rPr>
        <w:t>. Each transmission and distribution utility shall prepare labels associated with standard offer service within its service territory. In the event there is more than one standard offer provider in a service territory, power source and air emissions information on the label shall be blended so that a single label is prepared. For this purpose, the label information shall be the weighted average of each provider’s power sources and air emissions. The weights used shall be each provider’s percentage of standard offer load. Transmission and distribution utilities shall charge standard offer providers for the costs of preparing the label pursuant to Commission approved rates.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Company Disclosure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 xml:space="preserve">Each competitive electricity provider that disaggregates its resource portfolio into price or product offerings pursuant to this </w:t>
      </w:r>
      <w:proofErr w:type="gramStart"/>
      <w:r w:rsidRPr="00B52AC8">
        <w:rPr>
          <w:rStyle w:val="InitialStyle"/>
          <w:rFonts w:ascii="Times New Roman" w:hAnsi="Times New Roman"/>
          <w:sz w:val="22"/>
          <w:szCs w:val="22"/>
        </w:rPr>
        <w:t>section,</w:t>
      </w:r>
      <w:proofErr w:type="gramEnd"/>
      <w:r w:rsidRPr="00B52AC8">
        <w:rPr>
          <w:rStyle w:val="InitialStyle"/>
          <w:rFonts w:ascii="Times New Roman" w:hAnsi="Times New Roman"/>
          <w:sz w:val="22"/>
          <w:szCs w:val="22"/>
        </w:rPr>
        <w:t xml:space="preserve"> shall prepare a company disclosure that aggregates the resource portfolio of all its price or product offerings within the ISO-NE or Maritimes control area, as applicable. The company disclosure shall contain the aggregated information in a form substantially similar to the "power sources" and "air emissions" portion of the label consistent with the label format established by section 2(B)(6). The company disclosure shall explain in plain language why the aggregate information is different from that of the customer's price or product offering. The company disclosure report shall be provided or made available to customers upon request. The competitive electricity provider shall notify customers of the availability of the company disclosure as part of the label information.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sz w:val="22"/>
          <w:szCs w:val="22"/>
        </w:rPr>
        <w:tab/>
      </w:r>
      <w:r w:rsidR="009B7234">
        <w:rPr>
          <w:rStyle w:val="InitialStyle"/>
          <w:rFonts w:ascii="Times New Roman" w:hAnsi="Times New Roman"/>
          <w:sz w:val="22"/>
          <w:szCs w:val="22"/>
        </w:rPr>
        <w:t>D</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Availability of Disclosure Label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Prior to Initiation of Service</w:t>
      </w:r>
      <w:r w:rsidRPr="00B52AC8">
        <w:rPr>
          <w:rStyle w:val="InitialStyle"/>
          <w:rFonts w:ascii="Times New Roman" w:hAnsi="Times New Roman"/>
          <w:sz w:val="22"/>
          <w:szCs w:val="22"/>
        </w:rPr>
        <w:t>. Each competitive electricity provider shall provide the label to customers or notify customers that the label is available on the competitive electricity provider’s website or through other means prior to the initiation of service. This provision does not apply to standard offer service.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proofErr w:type="gramStart"/>
      <w:r w:rsidRPr="00B52AC8">
        <w:rPr>
          <w:rStyle w:val="InitialStyle"/>
          <w:rFonts w:ascii="Times New Roman" w:hAnsi="Times New Roman"/>
          <w:b/>
          <w:sz w:val="22"/>
          <w:szCs w:val="22"/>
        </w:rPr>
        <w:t>After</w:t>
      </w:r>
      <w:proofErr w:type="gramEnd"/>
      <w:r w:rsidRPr="00B52AC8">
        <w:rPr>
          <w:rStyle w:val="InitialStyle"/>
          <w:rFonts w:ascii="Times New Roman" w:hAnsi="Times New Roman"/>
          <w:b/>
          <w:sz w:val="22"/>
          <w:szCs w:val="22"/>
        </w:rPr>
        <w:t xml:space="preserve"> Initiation of Service</w:t>
      </w:r>
      <w:r w:rsidRPr="00B52AC8">
        <w:rPr>
          <w:rStyle w:val="InitialStyle"/>
          <w:rFonts w:ascii="Times New Roman" w:hAnsi="Times New Roman"/>
          <w:sz w:val="22"/>
          <w:szCs w:val="22"/>
        </w:rPr>
        <w:t>. Each competitive electricity provider that provides generation service to residential and small commercial customers shall provide labels to those customers or notify those customers that the label is available on the competitive electricity provider’s website or through other means once each calendar year. Competitive electricity providers may provide or notify customers of the availability of labels to all its customers at the same time.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proofErr w:type="gramStart"/>
      <w:r w:rsidRPr="00B52AC8">
        <w:rPr>
          <w:rStyle w:val="InitialStyle"/>
          <w:rFonts w:ascii="Times New Roman" w:hAnsi="Times New Roman"/>
          <w:b/>
          <w:sz w:val="22"/>
          <w:szCs w:val="22"/>
        </w:rPr>
        <w:t>Upon</w:t>
      </w:r>
      <w:proofErr w:type="gramEnd"/>
      <w:r w:rsidRPr="00B52AC8">
        <w:rPr>
          <w:rStyle w:val="InitialStyle"/>
          <w:rFonts w:ascii="Times New Roman" w:hAnsi="Times New Roman"/>
          <w:b/>
          <w:sz w:val="22"/>
          <w:szCs w:val="22"/>
        </w:rPr>
        <w:t xml:space="preserve"> request</w:t>
      </w:r>
      <w:r w:rsidRPr="00B52AC8">
        <w:rPr>
          <w:rStyle w:val="InitialStyle"/>
          <w:rFonts w:ascii="Times New Roman" w:hAnsi="Times New Roman"/>
          <w:sz w:val="22"/>
          <w:szCs w:val="22"/>
        </w:rPr>
        <w:t>. The label shall be available upon request to any person eligible to obtain the associated service.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Standard offer service</w:t>
      </w:r>
      <w:r w:rsidRPr="00B52AC8">
        <w:rPr>
          <w:rStyle w:val="InitialStyle"/>
          <w:rFonts w:ascii="Times New Roman" w:hAnsi="Times New Roman"/>
          <w:sz w:val="22"/>
          <w:szCs w:val="22"/>
        </w:rPr>
        <w:t>. Each transmission and distribution utility shall make available through the transmission and distribution utility’s website and, upon request, by mail to standard offer customers the labels associated with standard offer service within their service territory. The labels shall be made available to residential and small commercial standard offer customers within 3 months after the initiation of standard offer service by a new standard offer provider.</w:t>
      </w:r>
      <w:r w:rsidR="003F1E53">
        <w:rPr>
          <w:rStyle w:val="InitialStyle"/>
          <w:rFonts w:ascii="Times New Roman" w:hAnsi="Times New Roman"/>
          <w:sz w:val="22"/>
          <w:szCs w:val="22"/>
        </w:rPr>
        <w:t xml:space="preserve"> </w:t>
      </w:r>
      <w:r w:rsidRPr="00B52AC8">
        <w:rPr>
          <w:rStyle w:val="InitialStyle"/>
          <w:rFonts w:ascii="Times New Roman" w:hAnsi="Times New Roman"/>
          <w:sz w:val="22"/>
          <w:szCs w:val="22"/>
        </w:rPr>
        <w:t>Transmission and distribution utilities shall notify standard offer customers of the availability of the label once each calendar year. Transmission and distribution utilities may charge standard offer providers for the costs of making the label available pursuant to Commission approved rates, terms and conditions.</w:t>
      </w:r>
    </w:p>
    <w:p w:rsidR="00B52AC8" w:rsidRPr="00B52AC8" w:rsidRDefault="00B52AC8" w:rsidP="007E2C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E3510C">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r w:rsidRPr="00B52AC8">
        <w:rPr>
          <w:rStyle w:val="InitialStyle"/>
          <w:rFonts w:ascii="Times New Roman" w:hAnsi="Times New Roman"/>
          <w:sz w:val="22"/>
          <w:szCs w:val="22"/>
        </w:rPr>
        <w:tab/>
      </w:r>
      <w:r w:rsidR="006B1FD0">
        <w:rPr>
          <w:rStyle w:val="InitialStyle"/>
          <w:rFonts w:ascii="Times New Roman" w:hAnsi="Times New Roman"/>
          <w:sz w:val="22"/>
          <w:szCs w:val="22"/>
        </w:rPr>
        <w:t>E</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Information Disclosure in Advertising</w:t>
      </w:r>
    </w:p>
    <w:p w:rsidR="00B52AC8" w:rsidRPr="00B52AC8" w:rsidRDefault="00B52AC8" w:rsidP="00E3510C">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E3510C">
      <w:pPr>
        <w:pStyle w:val="Defaul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 competitive electricity provider shall state the availability of the disclosure label prepared pursuant to this section in a prominent position in all written marketing materials promoting available generation service, including direct mail materials, newspaper, magazine, and other written advertisements, and in all electronically-published advertising including Internet materials. Where available generation services are marketed in non-print media, the marketing materials shall indicate that a disclosure label is available. Any competitive electricity provider website that promotes the availability of generation service must also contain access to the disclosure label.</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r w:rsidRPr="00B52AC8">
        <w:rPr>
          <w:rStyle w:val="InitialStyle"/>
          <w:rFonts w:ascii="Times New Roman" w:hAnsi="Times New Roman"/>
          <w:sz w:val="22"/>
          <w:szCs w:val="22"/>
        </w:rPr>
        <w:tab/>
      </w:r>
      <w:r w:rsidR="006B1FD0">
        <w:rPr>
          <w:rStyle w:val="InitialStyle"/>
          <w:rFonts w:ascii="Times New Roman" w:hAnsi="Times New Roman"/>
          <w:sz w:val="22"/>
          <w:szCs w:val="22"/>
        </w:rPr>
        <w:t>F</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Enforcement</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hanging="1440"/>
        <w:rPr>
          <w:rStyle w:val="InitialStyle"/>
          <w:rFonts w:ascii="Times New Roman" w:hAnsi="Times New Roman"/>
          <w:sz w:val="22"/>
          <w:szCs w:val="22"/>
        </w:rPr>
      </w:pPr>
    </w:p>
    <w:p w:rsidR="00B52AC8" w:rsidRDefault="00B52AC8" w:rsidP="007E2C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rPr>
          <w:rStyle w:val="InitialStyle"/>
          <w:rFonts w:ascii="Times New Roman" w:hAnsi="Times New Roman"/>
          <w:sz w:val="22"/>
          <w:szCs w:val="22"/>
        </w:rPr>
      </w:pPr>
      <w:r w:rsidRPr="00B52AC8">
        <w:rPr>
          <w:rStyle w:val="InitialStyle"/>
          <w:rFonts w:ascii="Times New Roman" w:hAnsi="Times New Roman"/>
          <w:sz w:val="22"/>
          <w:szCs w:val="22"/>
        </w:rPr>
        <w:t>Dissemination of inaccurate information, or failure to comply with the Commission’s regulations on information disclosure, may result in suspension or revocation of the competitive electricity provider's license or other sanctions i</w:t>
      </w:r>
      <w:r w:rsidR="003F1E53">
        <w:rPr>
          <w:rStyle w:val="InitialStyle"/>
          <w:rFonts w:ascii="Times New Roman" w:hAnsi="Times New Roman"/>
          <w:sz w:val="22"/>
          <w:szCs w:val="22"/>
        </w:rPr>
        <w:t>n accordance with Chapter 305 §</w:t>
      </w:r>
      <w:r w:rsidRPr="00B52AC8">
        <w:rPr>
          <w:rStyle w:val="InitialStyle"/>
          <w:rFonts w:ascii="Times New Roman" w:hAnsi="Times New Roman"/>
          <w:sz w:val="22"/>
          <w:szCs w:val="22"/>
        </w:rPr>
        <w:t>3.</w:t>
      </w:r>
    </w:p>
    <w:p w:rsidR="00F36678" w:rsidRDefault="00F36678" w:rsidP="007E2CA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144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r w:rsidRPr="00B52AC8">
        <w:rPr>
          <w:rStyle w:val="InitialStyle"/>
          <w:rFonts w:ascii="Times New Roman" w:hAnsi="Times New Roman"/>
          <w:sz w:val="22"/>
          <w:szCs w:val="22"/>
        </w:rPr>
        <w:tab/>
      </w:r>
      <w:r w:rsidR="006B1FD0">
        <w:rPr>
          <w:rStyle w:val="InitialStyle"/>
          <w:rFonts w:ascii="Times New Roman" w:hAnsi="Times New Roman"/>
          <w:sz w:val="22"/>
          <w:szCs w:val="22"/>
        </w:rPr>
        <w:t>G</w:t>
      </w:r>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Verification; Annual Reporting</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1.</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Provider Obligation</w:t>
      </w:r>
      <w:r w:rsidRPr="00B52AC8">
        <w:rPr>
          <w:rStyle w:val="InitialStyle"/>
          <w:rFonts w:ascii="Times New Roman" w:hAnsi="Times New Roman"/>
          <w:sz w:val="22"/>
          <w:szCs w:val="22"/>
        </w:rPr>
        <w:t>. Each competitive electricity provider has the obligation to verify compliance with the provisions of this section.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2.</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Verification Method</w:t>
      </w:r>
      <w:r w:rsidRPr="00B52AC8">
        <w:rPr>
          <w:rStyle w:val="InitialStyle"/>
          <w:rFonts w:ascii="Times New Roman" w:hAnsi="Times New Roman"/>
          <w:sz w:val="22"/>
          <w:szCs w:val="22"/>
        </w:rPr>
        <w:t>. Beginning with service in the year 2002, competitive electricity providers must verify compliance with this Chapter as specified in this provision.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s>
        <w:ind w:left="2880" w:hanging="2880"/>
        <w:rPr>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proofErr w:type="gramStart"/>
      <w:r w:rsidRPr="00B52AC8">
        <w:rPr>
          <w:rStyle w:val="InitialStyle"/>
          <w:rFonts w:ascii="Times New Roman" w:hAnsi="Times New Roman"/>
          <w:sz w:val="22"/>
          <w:szCs w:val="22"/>
        </w:rPr>
        <w:t>a</w:t>
      </w:r>
      <w:proofErr w:type="gramEnd"/>
      <w:r w:rsidRPr="00B52AC8">
        <w:rPr>
          <w:rStyle w:val="InitialStyle"/>
          <w:rFonts w:ascii="Times New Roman" w:hAnsi="Times New Roman"/>
          <w:sz w:val="22"/>
          <w:szCs w:val="22"/>
        </w:rPr>
        <w:t>.</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ISO-NE</w:t>
      </w:r>
      <w:r w:rsidRPr="00B52AC8">
        <w:rPr>
          <w:sz w:val="22"/>
          <w:szCs w:val="22"/>
        </w:rPr>
        <w:t xml:space="preserve"> </w:t>
      </w:r>
      <w:r w:rsidRPr="00B52AC8">
        <w:rPr>
          <w:b/>
          <w:sz w:val="22"/>
          <w:szCs w:val="22"/>
        </w:rPr>
        <w:t>Control Area</w:t>
      </w:r>
      <w:r w:rsidRPr="00B52AC8">
        <w:rPr>
          <w:sz w:val="22"/>
          <w:szCs w:val="22"/>
        </w:rPr>
        <w:t>. Beginning in the year 2002, competitive electricity providers that serve customers in the ISO-NE control area, must verify the accuracy of the label information through GIS certificates. For purposes of compliance with this provision, all competitive electricity providers must have at least one Maine GIS sub</w:t>
      </w:r>
      <w:r w:rsidRPr="00B52AC8">
        <w:rPr>
          <w:sz w:val="22"/>
          <w:szCs w:val="22"/>
        </w:rPr>
        <w:noBreakHyphen/>
        <w:t>account. The Commission may allow verification through means other than GIS certificates upon a showing that a competitive electricity provider reasonably relied on the Commission’s prior rules or for other good cause. Entities that have purchased the contractual rights to the output of transmission and distribution utility qualifying facility entitlements that have not been provided associated GIS certificates may use the contractual rights to the output of the entitlements to verify the accuracy of label information.</w:t>
      </w:r>
    </w:p>
    <w:p w:rsidR="00B52AC8" w:rsidRPr="00B52AC8" w:rsidRDefault="00B52AC8" w:rsidP="00B52AC8">
      <w:pPr>
        <w:pStyle w:val="DefaultText"/>
        <w:tabs>
          <w:tab w:val="left" w:pos="720"/>
          <w:tab w:val="left" w:pos="1440"/>
          <w:tab w:val="left" w:pos="2160"/>
          <w:tab w:val="left" w:pos="2880"/>
          <w:tab w:val="left" w:pos="3600"/>
          <w:tab w:val="left" w:pos="4320"/>
        </w:tabs>
        <w:ind w:left="2160" w:hanging="2160"/>
        <w:rPr>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s>
        <w:ind w:left="2880" w:hanging="2880"/>
        <w:rPr>
          <w:sz w:val="22"/>
          <w:szCs w:val="22"/>
        </w:rPr>
      </w:pPr>
      <w:r w:rsidRPr="00B52AC8">
        <w:rPr>
          <w:sz w:val="22"/>
          <w:szCs w:val="22"/>
        </w:rPr>
        <w:tab/>
      </w:r>
      <w:r w:rsidRPr="00B52AC8">
        <w:rPr>
          <w:sz w:val="22"/>
          <w:szCs w:val="22"/>
        </w:rPr>
        <w:tab/>
      </w:r>
      <w:r w:rsidRPr="00B52AC8">
        <w:rPr>
          <w:sz w:val="22"/>
          <w:szCs w:val="22"/>
        </w:rPr>
        <w:tab/>
      </w:r>
      <w:proofErr w:type="gramStart"/>
      <w:r w:rsidRPr="00B52AC8">
        <w:rPr>
          <w:sz w:val="22"/>
          <w:szCs w:val="22"/>
        </w:rPr>
        <w:t>b</w:t>
      </w:r>
      <w:proofErr w:type="gramEnd"/>
      <w:r w:rsidRPr="00B52AC8">
        <w:rPr>
          <w:sz w:val="22"/>
          <w:szCs w:val="22"/>
        </w:rPr>
        <w:t>.</w:t>
      </w:r>
      <w:r w:rsidRPr="00B52AC8">
        <w:rPr>
          <w:sz w:val="22"/>
          <w:szCs w:val="22"/>
        </w:rPr>
        <w:tab/>
      </w:r>
      <w:r w:rsidRPr="00B52AC8">
        <w:rPr>
          <w:b/>
          <w:sz w:val="22"/>
          <w:szCs w:val="22"/>
        </w:rPr>
        <w:t>Maritimes Control Area</w:t>
      </w:r>
      <w:r w:rsidRPr="00B52AC8">
        <w:rPr>
          <w:sz w:val="22"/>
          <w:szCs w:val="22"/>
        </w:rPr>
        <w:t>. Competitive electricity providers that serve customers in the Maritimes control area must verify the accuracy of the label information through market settlement data and other documentation that reveal the resources used to serve customers and the emission characteristics of those resources.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3.</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Annual Reports</w:t>
      </w:r>
      <w:r w:rsidRPr="00B52AC8">
        <w:rPr>
          <w:rStyle w:val="InitialStyle"/>
          <w:rFonts w:ascii="Times New Roman" w:hAnsi="Times New Roman"/>
          <w:sz w:val="22"/>
          <w:szCs w:val="22"/>
        </w:rPr>
        <w:t>. On or before July 1 of each year, each competitive electricity provider shall submit an annual report that contains information that supports the accuracy of disclosure labels provided or made available over the prior calendar year. At a minimum, the annual report must include the following information for the prior calendar year:</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s>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a.</w:t>
      </w:r>
      <w:r w:rsidRPr="00B52AC8">
        <w:rPr>
          <w:rStyle w:val="InitialStyle"/>
          <w:rFonts w:ascii="Times New Roman" w:hAnsi="Times New Roman"/>
          <w:sz w:val="22"/>
          <w:szCs w:val="22"/>
        </w:rPr>
        <w:tab/>
        <w:t>Copies of disclosure labels provided or made available to customers during the reporting period.</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right="-54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b.</w:t>
      </w:r>
      <w:r w:rsidRPr="00B52AC8">
        <w:rPr>
          <w:rStyle w:val="InitialStyle"/>
          <w:rFonts w:ascii="Times New Roman" w:hAnsi="Times New Roman"/>
          <w:sz w:val="22"/>
          <w:szCs w:val="22"/>
        </w:rPr>
        <w:tab/>
        <w:t>Reports from the GIS Administrator for service in the ISO-NE control area.</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c.</w:t>
      </w:r>
      <w:r w:rsidRPr="00B52AC8">
        <w:rPr>
          <w:rStyle w:val="InitialStyle"/>
          <w:rFonts w:ascii="Times New Roman" w:hAnsi="Times New Roman"/>
          <w:sz w:val="22"/>
          <w:szCs w:val="22"/>
        </w:rPr>
        <w:tab/>
        <w:t>A description of the resources used to serve customers in the Maritimes control area and information verifying the accuracy of the resource portfolio and the emission characteristics associated with the resource portfolio.</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880" w:hanging="288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r>
      <w:r w:rsidRPr="00B52AC8">
        <w:rPr>
          <w:rStyle w:val="InitialStyle"/>
          <w:rFonts w:ascii="Times New Roman" w:hAnsi="Times New Roman"/>
          <w:sz w:val="22"/>
          <w:szCs w:val="22"/>
        </w:rPr>
        <w:tab/>
        <w:t>d.</w:t>
      </w:r>
      <w:r w:rsidRPr="00B52AC8">
        <w:rPr>
          <w:rStyle w:val="InitialStyle"/>
          <w:rFonts w:ascii="Times New Roman" w:hAnsi="Times New Roman"/>
          <w:sz w:val="22"/>
          <w:szCs w:val="22"/>
        </w:rPr>
        <w:tab/>
        <w:t>Verification of the accuracy of the disaggregation of the company resource portfolio into segments or products, if applicable.</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4.</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Additional Information</w:t>
      </w:r>
      <w:r w:rsidRPr="00B52AC8">
        <w:rPr>
          <w:rStyle w:val="InitialStyle"/>
          <w:rFonts w:ascii="Times New Roman" w:hAnsi="Times New Roman"/>
          <w:sz w:val="22"/>
          <w:szCs w:val="22"/>
        </w:rPr>
        <w:t>. The Commission may at any time request and obtain information from a competitive electricity provider that the Commission determines is needed to verify the accuracy of the information contained on disclosure labels.</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5.</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Audits</w:t>
      </w:r>
      <w:r w:rsidRPr="00B52AC8">
        <w:rPr>
          <w:rStyle w:val="InitialStyle"/>
          <w:rFonts w:ascii="Times New Roman" w:hAnsi="Times New Roman"/>
          <w:sz w:val="22"/>
          <w:szCs w:val="22"/>
        </w:rPr>
        <w:t>. The Commission may at any time conduct an audit of any competitive electricity provider to verify the accuracy of the information contained on disclosure labels. Upon request by the Commission, a competitive electricity provider must provide any information that the Commission determines is needed to conduct the audit and verify compliance with this section.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rsidR="00B52AC8" w:rsidRPr="00B52AC8" w:rsidRDefault="00B52AC8" w:rsidP="00B52AC8">
      <w:pPr>
        <w:pStyle w:val="DefaultText"/>
        <w:tabs>
          <w:tab w:val="left" w:pos="1440"/>
        </w:tabs>
        <w:ind w:left="2160" w:hanging="2160"/>
        <w:rPr>
          <w:sz w:val="22"/>
          <w:szCs w:val="22"/>
        </w:rPr>
      </w:pPr>
      <w:r w:rsidRPr="00B52AC8">
        <w:rPr>
          <w:sz w:val="22"/>
          <w:szCs w:val="22"/>
        </w:rPr>
        <w:tab/>
        <w:t>6.</w:t>
      </w:r>
      <w:r w:rsidRPr="00B52AC8">
        <w:rPr>
          <w:sz w:val="22"/>
          <w:szCs w:val="22"/>
        </w:rPr>
        <w:tab/>
      </w:r>
      <w:r w:rsidRPr="00B52AC8">
        <w:rPr>
          <w:b/>
          <w:sz w:val="22"/>
          <w:szCs w:val="22"/>
        </w:rPr>
        <w:t>Rejection of Certificates</w:t>
      </w:r>
      <w:r w:rsidRPr="00B52AC8">
        <w:rPr>
          <w:sz w:val="22"/>
          <w:szCs w:val="22"/>
        </w:rPr>
        <w:t>. The Commission may reject the use of certain GIS certificates for purposes of disclosure label information if it finds that the GIS certificates do not reflect accurate information, to avoid the double counting of electricity attributes or for other good cause.</w:t>
      </w:r>
    </w:p>
    <w:p w:rsidR="00B52AC8" w:rsidRPr="00B52AC8" w:rsidRDefault="00B52AC8" w:rsidP="00B52AC8">
      <w:pPr>
        <w:pStyle w:val="DefaultText"/>
        <w:ind w:left="2160" w:hanging="2160"/>
        <w:rPr>
          <w:sz w:val="22"/>
          <w:szCs w:val="22"/>
        </w:rPr>
      </w:pPr>
    </w:p>
    <w:p w:rsidR="00B52AC8" w:rsidRPr="00B52AC8" w:rsidRDefault="00B52AC8" w:rsidP="00B52AC8">
      <w:pPr>
        <w:pStyle w:val="DefaultText"/>
        <w:tabs>
          <w:tab w:val="left" w:pos="1440"/>
        </w:tabs>
        <w:ind w:left="2160" w:hanging="2160"/>
        <w:rPr>
          <w:sz w:val="22"/>
          <w:szCs w:val="22"/>
        </w:rPr>
      </w:pPr>
      <w:r w:rsidRPr="00B52AC8">
        <w:rPr>
          <w:sz w:val="22"/>
          <w:szCs w:val="22"/>
        </w:rPr>
        <w:tab/>
        <w:t>7.</w:t>
      </w:r>
      <w:r w:rsidRPr="00B52AC8">
        <w:rPr>
          <w:sz w:val="22"/>
          <w:szCs w:val="22"/>
        </w:rPr>
        <w:tab/>
      </w:r>
      <w:r w:rsidRPr="00B52AC8">
        <w:rPr>
          <w:b/>
          <w:sz w:val="22"/>
          <w:szCs w:val="22"/>
        </w:rPr>
        <w:t>Generation Facilities</w:t>
      </w:r>
      <w:r w:rsidRPr="00B52AC8">
        <w:rPr>
          <w:sz w:val="22"/>
          <w:szCs w:val="22"/>
        </w:rPr>
        <w:t>. The Commission may at any time conduct an investigation into whether GIS certificates represent accurate information. The Commission may request and obtain information from generation facilities that the Commission determines is needed to verify the accuracy of information contained on a disclosure label. The Commission may reject the use of GIS certificates pursuant to section 2(H</w:t>
      </w:r>
      <w:proofErr w:type="gramStart"/>
      <w:r w:rsidRPr="00B52AC8">
        <w:rPr>
          <w:sz w:val="22"/>
          <w:szCs w:val="22"/>
        </w:rPr>
        <w:t>)(</w:t>
      </w:r>
      <w:proofErr w:type="gramEnd"/>
      <w:r w:rsidRPr="00B52AC8">
        <w:rPr>
          <w:sz w:val="22"/>
          <w:szCs w:val="22"/>
        </w:rPr>
        <w:t>6) of this Chapter if a generation facility does not comply with an information request made pursuant to this provision.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r w:rsidRPr="00B52AC8">
        <w:rPr>
          <w:rStyle w:val="InitialStyle"/>
          <w:rFonts w:ascii="Times New Roman" w:hAnsi="Times New Roman"/>
          <w:sz w:val="22"/>
          <w:szCs w:val="22"/>
        </w:rPr>
        <w:tab/>
      </w:r>
      <w:r w:rsidRPr="00B52AC8">
        <w:rPr>
          <w:rStyle w:val="InitialStyle"/>
          <w:rFonts w:ascii="Times New Roman" w:hAnsi="Times New Roman"/>
          <w:sz w:val="22"/>
          <w:szCs w:val="22"/>
        </w:rPr>
        <w:tab/>
        <w:t>8.</w:t>
      </w:r>
      <w:r w:rsidRPr="00B52AC8">
        <w:rPr>
          <w:rStyle w:val="InitialStyle"/>
          <w:rFonts w:ascii="Times New Roman" w:hAnsi="Times New Roman"/>
          <w:sz w:val="22"/>
          <w:szCs w:val="22"/>
        </w:rPr>
        <w:tab/>
      </w:r>
      <w:r w:rsidRPr="00B52AC8">
        <w:rPr>
          <w:rStyle w:val="InitialStyle"/>
          <w:rFonts w:ascii="Times New Roman" w:hAnsi="Times New Roman"/>
          <w:b/>
          <w:sz w:val="22"/>
          <w:szCs w:val="22"/>
        </w:rPr>
        <w:t>Confidentiality</w:t>
      </w:r>
      <w:r w:rsidRPr="00B52AC8">
        <w:rPr>
          <w:rStyle w:val="InitialStyle"/>
          <w:rFonts w:ascii="Times New Roman" w:hAnsi="Times New Roman"/>
          <w:sz w:val="22"/>
          <w:szCs w:val="22"/>
        </w:rPr>
        <w:t>. The Commission may subject any information required pursuant to this subsection to appropriate protective orders.</w:t>
      </w:r>
    </w:p>
    <w:p w:rsidR="00E3510C" w:rsidRPr="00B52AC8" w:rsidRDefault="00E3510C"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rPr>
          <w:rStyle w:val="InitialStyle"/>
          <w:rFonts w:ascii="Times New Roman" w:hAnsi="Times New Roman"/>
          <w:sz w:val="22"/>
          <w:szCs w:val="22"/>
        </w:rPr>
      </w:pPr>
    </w:p>
    <w:p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b/>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roofErr w:type="gramStart"/>
      <w:r w:rsidRPr="00B52AC8">
        <w:rPr>
          <w:rStyle w:val="InitialStyle"/>
          <w:rFonts w:ascii="Times New Roman" w:hAnsi="Times New Roman"/>
          <w:b/>
          <w:sz w:val="22"/>
          <w:szCs w:val="22"/>
        </w:rPr>
        <w:t xml:space="preserve">§ </w:t>
      </w:r>
      <w:r w:rsidR="009B7234">
        <w:rPr>
          <w:rStyle w:val="InitialStyle"/>
          <w:rFonts w:ascii="Times New Roman" w:hAnsi="Times New Roman"/>
          <w:b/>
          <w:sz w:val="22"/>
          <w:szCs w:val="22"/>
        </w:rPr>
        <w:t>3</w:t>
      </w:r>
      <w:r w:rsidRPr="00B52AC8">
        <w:rPr>
          <w:rStyle w:val="InitialStyle"/>
          <w:rFonts w:ascii="Times New Roman" w:hAnsi="Times New Roman"/>
          <w:b/>
          <w:sz w:val="22"/>
          <w:szCs w:val="22"/>
        </w:rPr>
        <w:tab/>
        <w:t>WAIVER</w:t>
      </w:r>
      <w:proofErr w:type="gramEnd"/>
      <w:r w:rsidRPr="00B52AC8">
        <w:rPr>
          <w:rStyle w:val="InitialStyle"/>
          <w:rFonts w:ascii="Times New Roman" w:hAnsi="Times New Roman"/>
          <w:b/>
          <w:sz w:val="22"/>
          <w:szCs w:val="22"/>
        </w:rPr>
        <w:t xml:space="preserve"> OR EXEMPTION</w:t>
      </w: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r w:rsidRPr="00B52AC8">
        <w:rPr>
          <w:rStyle w:val="InitialStyle"/>
          <w:rFonts w:ascii="Times New Roman" w:hAnsi="Times New Roman"/>
          <w:sz w:val="22"/>
          <w:szCs w:val="22"/>
        </w:rPr>
        <w:tab/>
        <w:t>Upon the request of any person subject to the provisions of this Chapter or upon its own motion, the Commission may, for good cause, waive any of the requirements of this Chapter that are not required by statute. The waiver may not be inconsistent with the purposes of this Chapter or Title</w:t>
      </w:r>
      <w:r w:rsidR="00E3510C">
        <w:rPr>
          <w:rStyle w:val="InitialStyle"/>
          <w:rFonts w:ascii="Times New Roman" w:hAnsi="Times New Roman"/>
          <w:sz w:val="22"/>
          <w:szCs w:val="22"/>
        </w:rPr>
        <w:t> </w:t>
      </w:r>
      <w:r w:rsidRPr="00B52AC8">
        <w:rPr>
          <w:rStyle w:val="InitialStyle"/>
          <w:rFonts w:ascii="Times New Roman" w:hAnsi="Times New Roman"/>
          <w:sz w:val="22"/>
          <w:szCs w:val="22"/>
        </w:rPr>
        <w:t>35-A. The Commission, the Director of Electric and Gas Industries, or the Presiding Officer assigned to a proceeding related to this Chapter may grant the waiver.</w:t>
      </w:r>
    </w:p>
    <w:p w:rsidR="00B52AC8" w:rsidRPr="00B52AC8" w:rsidRDefault="00B52AC8" w:rsidP="00B52AC8">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A041F4" w:rsidRPr="009D3356" w:rsidRDefault="00A041F4"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2"/>
          <w:szCs w:val="22"/>
        </w:rPr>
      </w:pPr>
    </w:p>
    <w:p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180" w:hanging="720"/>
        <w:rPr>
          <w:rStyle w:val="InitialStyle"/>
          <w:rFonts w:ascii="Times New Roman" w:hAnsi="Times New Roman"/>
          <w:sz w:val="22"/>
          <w:szCs w:val="22"/>
        </w:rPr>
      </w:pPr>
      <w:r w:rsidRPr="009D3356">
        <w:rPr>
          <w:rStyle w:val="InitialStyle"/>
          <w:rFonts w:ascii="Times New Roman" w:hAnsi="Times New Roman"/>
          <w:b/>
          <w:sz w:val="22"/>
          <w:szCs w:val="22"/>
        </w:rPr>
        <w:t>STATUTORY AUTHORITY:</w:t>
      </w:r>
      <w:r w:rsidR="005972A9">
        <w:rPr>
          <w:rStyle w:val="InitialStyle"/>
          <w:rFonts w:ascii="Times New Roman" w:hAnsi="Times New Roman"/>
          <w:sz w:val="22"/>
          <w:szCs w:val="22"/>
        </w:rPr>
        <w:t xml:space="preserve"> 35-A M.R.S.</w:t>
      </w:r>
      <w:r w:rsidRPr="009D3356">
        <w:rPr>
          <w:rStyle w:val="InitialStyle"/>
          <w:rFonts w:ascii="Times New Roman" w:hAnsi="Times New Roman"/>
          <w:sz w:val="22"/>
          <w:szCs w:val="22"/>
        </w:rPr>
        <w:t xml:space="preserve"> §§ 1</w:t>
      </w:r>
      <w:r w:rsidR="009D3356" w:rsidRPr="009D3356">
        <w:rPr>
          <w:rStyle w:val="InitialStyle"/>
          <w:rFonts w:ascii="Times New Roman" w:hAnsi="Times New Roman"/>
          <w:sz w:val="22"/>
          <w:szCs w:val="22"/>
        </w:rPr>
        <w:t>04, 111, 1301, 3203(3), 3203(4)</w:t>
      </w:r>
      <w:r w:rsidR="005972A9">
        <w:rPr>
          <w:rStyle w:val="InitialStyle"/>
          <w:rFonts w:ascii="Times New Roman" w:hAnsi="Times New Roman"/>
          <w:sz w:val="22"/>
          <w:szCs w:val="22"/>
        </w:rPr>
        <w:t>.</w:t>
      </w:r>
    </w:p>
    <w:p w:rsidR="004B05D6" w:rsidRPr="009D3356" w:rsidRDefault="004B05D6" w:rsidP="004B05D6">
      <w:pPr>
        <w:pStyle w:val="DefaultText"/>
        <w:tabs>
          <w:tab w:val="left" w:pos="720"/>
          <w:tab w:val="left" w:pos="1440"/>
          <w:tab w:val="left" w:pos="2160"/>
          <w:tab w:val="left" w:pos="2880"/>
          <w:tab w:val="left" w:pos="3600"/>
        </w:tabs>
        <w:ind w:left="720" w:hanging="720"/>
        <w:rPr>
          <w:rStyle w:val="InitialStyle"/>
          <w:sz w:val="22"/>
          <w:szCs w:val="22"/>
        </w:rPr>
      </w:pPr>
    </w:p>
    <w:p w:rsidR="004B05D6" w:rsidRPr="009D3356" w:rsidRDefault="004B05D6" w:rsidP="004B05D6">
      <w:pPr>
        <w:pStyle w:val="DefaultText"/>
        <w:tabs>
          <w:tab w:val="left" w:pos="720"/>
          <w:tab w:val="left" w:pos="1440"/>
          <w:tab w:val="left" w:pos="2160"/>
          <w:tab w:val="left" w:pos="2880"/>
          <w:tab w:val="left" w:pos="3600"/>
        </w:tabs>
        <w:rPr>
          <w:b/>
          <w:sz w:val="22"/>
          <w:szCs w:val="22"/>
        </w:rPr>
      </w:pPr>
      <w:r w:rsidRPr="009D3356">
        <w:rPr>
          <w:b/>
          <w:sz w:val="22"/>
          <w:szCs w:val="22"/>
        </w:rPr>
        <w:t>EFFECTIVE DATE:</w:t>
      </w:r>
    </w:p>
    <w:p w:rsidR="004B05D6" w:rsidRPr="009D3356" w:rsidRDefault="004B05D6" w:rsidP="004B05D6">
      <w:pPr>
        <w:pStyle w:val="DefaultText"/>
        <w:tabs>
          <w:tab w:val="left" w:pos="720"/>
          <w:tab w:val="left" w:pos="1440"/>
          <w:tab w:val="left" w:pos="2160"/>
          <w:tab w:val="left" w:pos="2880"/>
          <w:tab w:val="left" w:pos="3600"/>
        </w:tabs>
        <w:ind w:left="720" w:hanging="720"/>
        <w:rPr>
          <w:sz w:val="22"/>
          <w:szCs w:val="22"/>
        </w:rPr>
      </w:pPr>
      <w:r w:rsidRPr="009D3356">
        <w:rPr>
          <w:sz w:val="22"/>
          <w:szCs w:val="22"/>
        </w:rPr>
        <w:tab/>
        <w:t>This rule was approved as to form and legality by the Attorney General on June 30, 1999. It was filed with the Secretary of State on July 1, 1999 and became effective on July 31, 1999.</w:t>
      </w:r>
    </w:p>
    <w:p w:rsidR="004B05D6" w:rsidRPr="009D3356" w:rsidRDefault="004B05D6" w:rsidP="004B05D6">
      <w:pPr>
        <w:pStyle w:val="DefaultText"/>
        <w:tabs>
          <w:tab w:val="left" w:pos="720"/>
          <w:tab w:val="left" w:pos="1440"/>
          <w:tab w:val="left" w:pos="2160"/>
          <w:tab w:val="left" w:pos="2880"/>
          <w:tab w:val="left" w:pos="3600"/>
        </w:tabs>
        <w:rPr>
          <w:sz w:val="22"/>
          <w:szCs w:val="22"/>
        </w:rPr>
      </w:pPr>
    </w:p>
    <w:p w:rsidR="004B05D6" w:rsidRPr="009D3356" w:rsidRDefault="004B05D6" w:rsidP="004B05D6">
      <w:pPr>
        <w:pStyle w:val="DefaultText"/>
        <w:tabs>
          <w:tab w:val="left" w:pos="720"/>
          <w:tab w:val="left" w:pos="1440"/>
          <w:tab w:val="left" w:pos="2160"/>
          <w:tab w:val="left" w:pos="2880"/>
          <w:tab w:val="left" w:pos="3600"/>
        </w:tabs>
        <w:rPr>
          <w:b/>
          <w:sz w:val="22"/>
          <w:szCs w:val="22"/>
        </w:rPr>
      </w:pPr>
      <w:r w:rsidRPr="009D3356">
        <w:rPr>
          <w:b/>
          <w:sz w:val="22"/>
          <w:szCs w:val="22"/>
        </w:rPr>
        <w:t>EFFECTIVE DATE:</w:t>
      </w:r>
    </w:p>
    <w:p w:rsidR="004B05D6" w:rsidRPr="009D3356" w:rsidRDefault="004B05D6" w:rsidP="004B05D6">
      <w:pPr>
        <w:pStyle w:val="DefaultText"/>
        <w:tabs>
          <w:tab w:val="left" w:pos="720"/>
          <w:tab w:val="left" w:pos="1440"/>
          <w:tab w:val="left" w:pos="2160"/>
          <w:tab w:val="left" w:pos="2880"/>
          <w:tab w:val="left" w:pos="3600"/>
        </w:tabs>
        <w:ind w:left="720" w:right="450" w:hanging="720"/>
        <w:rPr>
          <w:sz w:val="22"/>
          <w:szCs w:val="22"/>
        </w:rPr>
      </w:pPr>
      <w:r w:rsidRPr="009D3356">
        <w:rPr>
          <w:sz w:val="22"/>
          <w:szCs w:val="22"/>
        </w:rPr>
        <w:tab/>
        <w:t>This amended rule was approved as to form and legality by the Attorney General on May 11, 2000. It was filed with the Secretary of State on May 12, 2000 and became effective on May 17, 2000.</w:t>
      </w:r>
    </w:p>
    <w:p w:rsidR="004B05D6" w:rsidRPr="009D3356" w:rsidRDefault="004B05D6" w:rsidP="004B05D6">
      <w:pPr>
        <w:pStyle w:val="DefaultText"/>
        <w:tabs>
          <w:tab w:val="left" w:pos="720"/>
          <w:tab w:val="left" w:pos="1440"/>
          <w:tab w:val="left" w:pos="2160"/>
          <w:tab w:val="left" w:pos="2880"/>
          <w:tab w:val="left" w:pos="3600"/>
        </w:tabs>
        <w:rPr>
          <w:sz w:val="22"/>
          <w:szCs w:val="22"/>
        </w:rPr>
      </w:pPr>
    </w:p>
    <w:p w:rsidR="004B05D6" w:rsidRPr="009D3356" w:rsidRDefault="004B05D6" w:rsidP="004B05D6">
      <w:pPr>
        <w:pStyle w:val="DefaultText"/>
        <w:tabs>
          <w:tab w:val="left" w:pos="720"/>
          <w:tab w:val="left" w:pos="1440"/>
          <w:tab w:val="left" w:pos="2160"/>
          <w:tab w:val="left" w:pos="2880"/>
          <w:tab w:val="left" w:pos="3600"/>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rsidR="004B05D6" w:rsidRPr="009D3356" w:rsidRDefault="004B05D6" w:rsidP="004B05D6">
      <w:pPr>
        <w:pStyle w:val="DefaultText"/>
        <w:tabs>
          <w:tab w:val="left" w:pos="720"/>
          <w:tab w:val="left" w:pos="1440"/>
          <w:tab w:val="left" w:pos="2160"/>
          <w:tab w:val="left" w:pos="2880"/>
          <w:tab w:val="left" w:pos="3600"/>
        </w:tabs>
        <w:ind w:left="720" w:right="-18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 the Attorney General on June 20, 2003. It was filed with the Secretary of State on June 20, 2003 and became effective on July 20, 2003.</w:t>
      </w:r>
    </w:p>
    <w:p w:rsidR="004B05D6" w:rsidRPr="009D3356" w:rsidRDefault="004B05D6" w:rsidP="004B05D6">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p>
    <w:p w:rsidR="004B05D6" w:rsidRPr="009D3356" w:rsidRDefault="004B05D6" w:rsidP="004B05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rsidR="004B05D6" w:rsidRPr="009D3356" w:rsidRDefault="004B05D6" w:rsidP="004B05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 the Attorney General on June 24, 2005. It was filed with the Secretary of State on June 27, 2005 and became effective on July 27, 2005 (filing 2005-254).</w:t>
      </w:r>
    </w:p>
    <w:p w:rsidR="00B52AC8" w:rsidRPr="009D3356" w:rsidRDefault="00B52AC8" w:rsidP="00B52AC8">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p>
    <w:p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w:t>
      </w:r>
      <w:r w:rsidR="009D3356">
        <w:rPr>
          <w:rStyle w:val="InitialStyle"/>
          <w:rFonts w:ascii="Times New Roman" w:hAnsi="Times New Roman"/>
          <w:sz w:val="22"/>
          <w:szCs w:val="22"/>
        </w:rPr>
        <w:t xml:space="preserve"> the Attorney General on October 12, 2011</w:t>
      </w:r>
      <w:r w:rsidRPr="009D3356">
        <w:rPr>
          <w:rStyle w:val="InitialStyle"/>
          <w:rFonts w:ascii="Times New Roman" w:hAnsi="Times New Roman"/>
          <w:sz w:val="22"/>
          <w:szCs w:val="22"/>
        </w:rPr>
        <w:t>. It was filed with th</w:t>
      </w:r>
      <w:r w:rsidR="009D3356">
        <w:rPr>
          <w:rStyle w:val="InitialStyle"/>
          <w:rFonts w:ascii="Times New Roman" w:hAnsi="Times New Roman"/>
          <w:sz w:val="22"/>
          <w:szCs w:val="22"/>
        </w:rPr>
        <w:t>e Secretary of State on October 14, 2011</w:t>
      </w:r>
      <w:r w:rsidRPr="009D3356">
        <w:rPr>
          <w:rStyle w:val="InitialStyle"/>
          <w:rFonts w:ascii="Times New Roman" w:hAnsi="Times New Roman"/>
          <w:sz w:val="22"/>
          <w:szCs w:val="22"/>
        </w:rPr>
        <w:t xml:space="preserve"> and became effective on </w:t>
      </w:r>
      <w:r w:rsidR="009D3356">
        <w:rPr>
          <w:rStyle w:val="InitialStyle"/>
          <w:rFonts w:ascii="Times New Roman" w:hAnsi="Times New Roman"/>
          <w:sz w:val="22"/>
          <w:szCs w:val="22"/>
        </w:rPr>
        <w:t>October 19, 2011 (filing 2011-367)</w:t>
      </w:r>
      <w:r w:rsidRPr="009D3356">
        <w:rPr>
          <w:rStyle w:val="InitialStyle"/>
          <w:rFonts w:ascii="Times New Roman" w:hAnsi="Times New Roman"/>
          <w:sz w:val="22"/>
          <w:szCs w:val="22"/>
        </w:rPr>
        <w:t>.</w:t>
      </w:r>
    </w:p>
    <w:p w:rsidR="00B52AC8" w:rsidRPr="009D3356" w:rsidRDefault="00B52AC8" w:rsidP="00B52A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sz w:val="22"/>
          <w:szCs w:val="22"/>
        </w:rPr>
      </w:pPr>
    </w:p>
    <w:p w:rsidR="006B1FD0" w:rsidRPr="009D3356" w:rsidRDefault="006B1FD0" w:rsidP="006B1FD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rStyle w:val="InitialStyle"/>
          <w:rFonts w:ascii="Times New Roman" w:hAnsi="Times New Roman"/>
          <w:b/>
          <w:sz w:val="22"/>
          <w:szCs w:val="22"/>
        </w:rPr>
      </w:pPr>
      <w:r w:rsidRPr="009D3356">
        <w:rPr>
          <w:rStyle w:val="InitialStyle"/>
          <w:rFonts w:ascii="Times New Roman" w:hAnsi="Times New Roman"/>
          <w:b/>
          <w:sz w:val="22"/>
          <w:szCs w:val="22"/>
        </w:rPr>
        <w:t>EFFECTIVE DATE:</w:t>
      </w:r>
    </w:p>
    <w:p w:rsidR="006B1FD0" w:rsidRPr="009D3356" w:rsidRDefault="006B1FD0" w:rsidP="00A041F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360" w:hanging="720"/>
        <w:rPr>
          <w:rStyle w:val="InitialStyle"/>
          <w:rFonts w:ascii="Times New Roman" w:hAnsi="Times New Roman"/>
          <w:sz w:val="22"/>
          <w:szCs w:val="22"/>
        </w:rPr>
      </w:pPr>
      <w:r w:rsidRPr="009D3356">
        <w:rPr>
          <w:rStyle w:val="InitialStyle"/>
          <w:rFonts w:ascii="Times New Roman" w:hAnsi="Times New Roman"/>
          <w:b/>
          <w:sz w:val="22"/>
          <w:szCs w:val="22"/>
        </w:rPr>
        <w:tab/>
      </w:r>
      <w:r w:rsidRPr="009D3356">
        <w:rPr>
          <w:rStyle w:val="InitialStyle"/>
          <w:rFonts w:ascii="Times New Roman" w:hAnsi="Times New Roman"/>
          <w:sz w:val="22"/>
          <w:szCs w:val="22"/>
        </w:rPr>
        <w:t>This rule was approved as to form and legality by</w:t>
      </w:r>
      <w:r w:rsidR="00A041F4">
        <w:rPr>
          <w:rStyle w:val="InitialStyle"/>
          <w:rFonts w:ascii="Times New Roman" w:hAnsi="Times New Roman"/>
          <w:sz w:val="22"/>
          <w:szCs w:val="22"/>
        </w:rPr>
        <w:t xml:space="preserve"> the Attorney General on January 20, 2015</w:t>
      </w:r>
      <w:r w:rsidRPr="009D3356">
        <w:rPr>
          <w:rStyle w:val="InitialStyle"/>
          <w:rFonts w:ascii="Times New Roman" w:hAnsi="Times New Roman"/>
          <w:sz w:val="22"/>
          <w:szCs w:val="22"/>
        </w:rPr>
        <w:t>. It was filed with th</w:t>
      </w:r>
      <w:r>
        <w:rPr>
          <w:rStyle w:val="InitialStyle"/>
          <w:rFonts w:ascii="Times New Roman" w:hAnsi="Times New Roman"/>
          <w:sz w:val="22"/>
          <w:szCs w:val="22"/>
        </w:rPr>
        <w:t xml:space="preserve">e Secretary of State on </w:t>
      </w:r>
      <w:r w:rsidR="00A041F4">
        <w:rPr>
          <w:rStyle w:val="InitialStyle"/>
          <w:rFonts w:ascii="Times New Roman" w:hAnsi="Times New Roman"/>
          <w:sz w:val="22"/>
          <w:szCs w:val="22"/>
        </w:rPr>
        <w:t>January 21, 2015</w:t>
      </w:r>
      <w:r w:rsidRPr="009D3356">
        <w:rPr>
          <w:rStyle w:val="InitialStyle"/>
          <w:rFonts w:ascii="Times New Roman" w:hAnsi="Times New Roman"/>
          <w:sz w:val="22"/>
          <w:szCs w:val="22"/>
        </w:rPr>
        <w:t xml:space="preserve"> and became effective on </w:t>
      </w:r>
      <w:r w:rsidR="00A041F4">
        <w:rPr>
          <w:rStyle w:val="InitialStyle"/>
          <w:rFonts w:ascii="Times New Roman" w:hAnsi="Times New Roman"/>
          <w:sz w:val="22"/>
          <w:szCs w:val="22"/>
        </w:rPr>
        <w:t>January</w:t>
      </w:r>
      <w:r w:rsidR="00E3510C">
        <w:rPr>
          <w:rStyle w:val="InitialStyle"/>
          <w:rFonts w:ascii="Times New Roman" w:hAnsi="Times New Roman"/>
          <w:sz w:val="22"/>
          <w:szCs w:val="22"/>
        </w:rPr>
        <w:t> </w:t>
      </w:r>
      <w:r w:rsidR="00A041F4">
        <w:rPr>
          <w:rStyle w:val="InitialStyle"/>
          <w:rFonts w:ascii="Times New Roman" w:hAnsi="Times New Roman"/>
          <w:sz w:val="22"/>
          <w:szCs w:val="22"/>
        </w:rPr>
        <w:t>26, 2015</w:t>
      </w:r>
      <w:r w:rsidR="00D353C5">
        <w:rPr>
          <w:rStyle w:val="InitialStyle"/>
          <w:rFonts w:ascii="Times New Roman" w:hAnsi="Times New Roman"/>
          <w:sz w:val="22"/>
          <w:szCs w:val="22"/>
        </w:rPr>
        <w:t xml:space="preserve"> </w:t>
      </w:r>
      <w:r w:rsidR="00A041F4">
        <w:rPr>
          <w:rStyle w:val="InitialStyle"/>
          <w:rFonts w:ascii="Times New Roman" w:hAnsi="Times New Roman"/>
          <w:sz w:val="22"/>
          <w:szCs w:val="22"/>
        </w:rPr>
        <w:t>(filing 2015-011</w:t>
      </w:r>
      <w:r>
        <w:rPr>
          <w:rStyle w:val="InitialStyle"/>
          <w:rFonts w:ascii="Times New Roman" w:hAnsi="Times New Roman"/>
          <w:sz w:val="22"/>
          <w:szCs w:val="22"/>
        </w:rPr>
        <w:t>)</w:t>
      </w:r>
      <w:r w:rsidRPr="009D3356">
        <w:rPr>
          <w:rStyle w:val="InitialStyle"/>
          <w:rFonts w:ascii="Times New Roman" w:hAnsi="Times New Roman"/>
          <w:sz w:val="22"/>
          <w:szCs w:val="22"/>
        </w:rPr>
        <w:t>.</w:t>
      </w:r>
    </w:p>
    <w:p w:rsidR="00B52AC8" w:rsidRPr="009D3356" w:rsidRDefault="00B52AC8">
      <w:pPr>
        <w:rPr>
          <w:sz w:val="22"/>
          <w:szCs w:val="22"/>
        </w:rPr>
      </w:pPr>
    </w:p>
    <w:sectPr w:rsidR="00B52AC8" w:rsidRPr="009D3356" w:rsidSect="009B1660">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4B" w:rsidRDefault="00575A4B">
      <w:r>
        <w:separator/>
      </w:r>
    </w:p>
  </w:endnote>
  <w:endnote w:type="continuationSeparator" w:id="0">
    <w:p w:rsidR="00575A4B" w:rsidRDefault="0057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4B" w:rsidRDefault="00575A4B">
      <w:r>
        <w:separator/>
      </w:r>
    </w:p>
  </w:footnote>
  <w:footnote w:type="continuationSeparator" w:id="0">
    <w:p w:rsidR="00575A4B" w:rsidRDefault="0057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10" w:rsidRPr="009B1660" w:rsidRDefault="00670F10">
    <w:pPr>
      <w:pStyle w:val="Header"/>
      <w:rPr>
        <w:sz w:val="18"/>
        <w:szCs w:val="18"/>
      </w:rPr>
    </w:pPr>
  </w:p>
  <w:p w:rsidR="00670F10" w:rsidRPr="009B1660" w:rsidRDefault="00670F10">
    <w:pPr>
      <w:pStyle w:val="Header"/>
      <w:rPr>
        <w:sz w:val="18"/>
        <w:szCs w:val="18"/>
      </w:rPr>
    </w:pPr>
  </w:p>
  <w:p w:rsidR="00670F10" w:rsidRPr="009B1660" w:rsidRDefault="00670F10">
    <w:pPr>
      <w:pStyle w:val="Header"/>
      <w:rPr>
        <w:sz w:val="18"/>
        <w:szCs w:val="18"/>
      </w:rPr>
    </w:pPr>
  </w:p>
  <w:p w:rsidR="00670F10" w:rsidRPr="009B1660" w:rsidRDefault="00670F10" w:rsidP="009B1660">
    <w:pPr>
      <w:pStyle w:val="Header"/>
      <w:pBdr>
        <w:bottom w:val="single" w:sz="4" w:space="1" w:color="auto"/>
      </w:pBdr>
      <w:jc w:val="right"/>
      <w:rPr>
        <w:sz w:val="18"/>
        <w:szCs w:val="18"/>
      </w:rPr>
    </w:pPr>
    <w:r w:rsidRPr="009B1660">
      <w:rPr>
        <w:sz w:val="18"/>
        <w:szCs w:val="18"/>
      </w:rPr>
      <w:t xml:space="preserve">65-407 Ch. 306     page </w:t>
    </w:r>
    <w:r w:rsidRPr="009B1660">
      <w:rPr>
        <w:rStyle w:val="PageNumber"/>
        <w:sz w:val="18"/>
        <w:szCs w:val="18"/>
      </w:rPr>
      <w:fldChar w:fldCharType="begin"/>
    </w:r>
    <w:r w:rsidRPr="009B1660">
      <w:rPr>
        <w:rStyle w:val="PageNumber"/>
        <w:sz w:val="18"/>
        <w:szCs w:val="18"/>
      </w:rPr>
      <w:instrText xml:space="preserve"> PAGE </w:instrText>
    </w:r>
    <w:r w:rsidRPr="009B1660">
      <w:rPr>
        <w:rStyle w:val="PageNumber"/>
        <w:sz w:val="18"/>
        <w:szCs w:val="18"/>
      </w:rPr>
      <w:fldChar w:fldCharType="separate"/>
    </w:r>
    <w:r w:rsidR="00EC4FC0">
      <w:rPr>
        <w:rStyle w:val="PageNumber"/>
        <w:noProof/>
        <w:sz w:val="18"/>
        <w:szCs w:val="18"/>
      </w:rPr>
      <w:t>10</w:t>
    </w:r>
    <w:r w:rsidRPr="009B1660">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67CF7"/>
    <w:multiLevelType w:val="hybridMultilevel"/>
    <w:tmpl w:val="EB885604"/>
    <w:lvl w:ilvl="0" w:tplc="2AB27D6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C8"/>
    <w:rsid w:val="000265E4"/>
    <w:rsid w:val="000F3EAF"/>
    <w:rsid w:val="00117088"/>
    <w:rsid w:val="00256ABC"/>
    <w:rsid w:val="003549DE"/>
    <w:rsid w:val="003F1E53"/>
    <w:rsid w:val="004B05D6"/>
    <w:rsid w:val="004D7117"/>
    <w:rsid w:val="00575A4B"/>
    <w:rsid w:val="00580E5B"/>
    <w:rsid w:val="005944D4"/>
    <w:rsid w:val="005972A9"/>
    <w:rsid w:val="005D045B"/>
    <w:rsid w:val="005D4991"/>
    <w:rsid w:val="006145B4"/>
    <w:rsid w:val="00660FEF"/>
    <w:rsid w:val="00670F10"/>
    <w:rsid w:val="00676F9C"/>
    <w:rsid w:val="006B1FD0"/>
    <w:rsid w:val="007B11A4"/>
    <w:rsid w:val="007E2CA4"/>
    <w:rsid w:val="0090763A"/>
    <w:rsid w:val="009B1660"/>
    <w:rsid w:val="009B7234"/>
    <w:rsid w:val="009D3356"/>
    <w:rsid w:val="00A041F4"/>
    <w:rsid w:val="00A506E4"/>
    <w:rsid w:val="00A64FE9"/>
    <w:rsid w:val="00B0022E"/>
    <w:rsid w:val="00B52AC8"/>
    <w:rsid w:val="00B854CD"/>
    <w:rsid w:val="00BB1DEC"/>
    <w:rsid w:val="00C05B50"/>
    <w:rsid w:val="00C144B3"/>
    <w:rsid w:val="00C3597C"/>
    <w:rsid w:val="00C72921"/>
    <w:rsid w:val="00CD2825"/>
    <w:rsid w:val="00D353C5"/>
    <w:rsid w:val="00D76767"/>
    <w:rsid w:val="00E3510C"/>
    <w:rsid w:val="00E466C2"/>
    <w:rsid w:val="00EC4FC0"/>
    <w:rsid w:val="00EE2818"/>
    <w:rsid w:val="00F36678"/>
    <w:rsid w:val="00FC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52AC8"/>
    <w:rPr>
      <w:szCs w:val="20"/>
    </w:rPr>
  </w:style>
  <w:style w:type="character" w:customStyle="1" w:styleId="InitialStyle">
    <w:name w:val="InitialStyle"/>
    <w:rsid w:val="00B52AC8"/>
    <w:rPr>
      <w:rFonts w:ascii="Courier New" w:hAnsi="Courier New"/>
      <w:color w:val="auto"/>
      <w:spacing w:val="0"/>
      <w:sz w:val="24"/>
    </w:rPr>
  </w:style>
  <w:style w:type="paragraph" w:styleId="Header">
    <w:name w:val="header"/>
    <w:basedOn w:val="Normal"/>
    <w:rsid w:val="007E2CA4"/>
    <w:pPr>
      <w:tabs>
        <w:tab w:val="center" w:pos="4320"/>
        <w:tab w:val="right" w:pos="8640"/>
      </w:tabs>
    </w:pPr>
  </w:style>
  <w:style w:type="paragraph" w:styleId="Footer">
    <w:name w:val="footer"/>
    <w:basedOn w:val="Normal"/>
    <w:rsid w:val="007E2CA4"/>
    <w:pPr>
      <w:tabs>
        <w:tab w:val="center" w:pos="4320"/>
        <w:tab w:val="right" w:pos="8640"/>
      </w:tabs>
    </w:pPr>
  </w:style>
  <w:style w:type="character" w:styleId="PageNumber">
    <w:name w:val="page number"/>
    <w:basedOn w:val="DefaultParagraphFont"/>
    <w:rsid w:val="009B1660"/>
  </w:style>
  <w:style w:type="paragraph" w:styleId="BalloonText">
    <w:name w:val="Balloon Text"/>
    <w:basedOn w:val="Normal"/>
    <w:link w:val="BalloonTextChar"/>
    <w:rsid w:val="009B7234"/>
    <w:rPr>
      <w:rFonts w:ascii="Tahoma" w:hAnsi="Tahoma" w:cs="Tahoma"/>
      <w:sz w:val="16"/>
      <w:szCs w:val="16"/>
    </w:rPr>
  </w:style>
  <w:style w:type="character" w:customStyle="1" w:styleId="BalloonTextChar">
    <w:name w:val="Balloon Text Char"/>
    <w:link w:val="BalloonText"/>
    <w:rsid w:val="009B7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52AC8"/>
    <w:rPr>
      <w:szCs w:val="20"/>
    </w:rPr>
  </w:style>
  <w:style w:type="character" w:customStyle="1" w:styleId="InitialStyle">
    <w:name w:val="InitialStyle"/>
    <w:rsid w:val="00B52AC8"/>
    <w:rPr>
      <w:rFonts w:ascii="Courier New" w:hAnsi="Courier New"/>
      <w:color w:val="auto"/>
      <w:spacing w:val="0"/>
      <w:sz w:val="24"/>
    </w:rPr>
  </w:style>
  <w:style w:type="paragraph" w:styleId="Header">
    <w:name w:val="header"/>
    <w:basedOn w:val="Normal"/>
    <w:rsid w:val="007E2CA4"/>
    <w:pPr>
      <w:tabs>
        <w:tab w:val="center" w:pos="4320"/>
        <w:tab w:val="right" w:pos="8640"/>
      </w:tabs>
    </w:pPr>
  </w:style>
  <w:style w:type="paragraph" w:styleId="Footer">
    <w:name w:val="footer"/>
    <w:basedOn w:val="Normal"/>
    <w:rsid w:val="007E2CA4"/>
    <w:pPr>
      <w:tabs>
        <w:tab w:val="center" w:pos="4320"/>
        <w:tab w:val="right" w:pos="8640"/>
      </w:tabs>
    </w:pPr>
  </w:style>
  <w:style w:type="character" w:styleId="PageNumber">
    <w:name w:val="page number"/>
    <w:basedOn w:val="DefaultParagraphFont"/>
    <w:rsid w:val="009B1660"/>
  </w:style>
  <w:style w:type="paragraph" w:styleId="BalloonText">
    <w:name w:val="Balloon Text"/>
    <w:basedOn w:val="Normal"/>
    <w:link w:val="BalloonTextChar"/>
    <w:rsid w:val="009B7234"/>
    <w:rPr>
      <w:rFonts w:ascii="Tahoma" w:hAnsi="Tahoma" w:cs="Tahoma"/>
      <w:sz w:val="16"/>
      <w:szCs w:val="16"/>
    </w:rPr>
  </w:style>
  <w:style w:type="character" w:customStyle="1" w:styleId="BalloonTextChar">
    <w:name w:val="Balloon Text Char"/>
    <w:link w:val="BalloonText"/>
    <w:rsid w:val="009B7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3344</Words>
  <Characters>19062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65-407</vt:lpstr>
    </vt:vector>
  </TitlesOfParts>
  <Company>State of Maine</Company>
  <LinksUpToDate>false</LinksUpToDate>
  <CharactersWithSpaces>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creator>Mitchell.tannenbaum</dc:creator>
  <cp:lastModifiedBy>Lajoie, Louisa</cp:lastModifiedBy>
  <cp:revision>2</cp:revision>
  <cp:lastPrinted>2015-01-14T15:49:00Z</cp:lastPrinted>
  <dcterms:created xsi:type="dcterms:W3CDTF">2015-02-11T17:59:00Z</dcterms:created>
  <dcterms:modified xsi:type="dcterms:W3CDTF">2015-02-11T17:59:00Z</dcterms:modified>
</cp:coreProperties>
</file>