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AB" w:rsidRPr="00FC5F87" w:rsidRDefault="00711AAB" w:rsidP="00FC5F87">
      <w:pPr>
        <w:pStyle w:val="Heading1"/>
        <w:keepNext w:val="0"/>
        <w:keepLines w:val="0"/>
        <w:tabs>
          <w:tab w:val="left" w:pos="720"/>
          <w:tab w:val="left" w:pos="2160"/>
          <w:tab w:val="left" w:pos="2880"/>
          <w:tab w:val="left" w:pos="3600"/>
        </w:tabs>
        <w:spacing w:after="0"/>
      </w:pPr>
      <w:bookmarkStart w:id="0" w:name="_GoBack"/>
      <w:bookmarkEnd w:id="0"/>
      <w:r w:rsidRPr="00FC5F87">
        <w:t>02</w:t>
      </w:r>
      <w:r w:rsidRPr="00FC5F87">
        <w:tab/>
      </w:r>
      <w:r w:rsidR="006B1389">
        <w:tab/>
      </w:r>
      <w:r w:rsidRPr="00FC5F87">
        <w:t>DEPARTMENT OF PROFESSIONAL AND FINANCIAL REGULATION</w:t>
      </w:r>
    </w:p>
    <w:p w:rsidR="00FC5F87" w:rsidRPr="00FC5F87" w:rsidRDefault="00FC5F87" w:rsidP="00FC5F87">
      <w:pPr>
        <w:pStyle w:val="Paragr2"/>
        <w:numPr>
          <w:ilvl w:val="0"/>
          <w:numId w:val="0"/>
        </w:numPr>
        <w:tabs>
          <w:tab w:val="clear" w:pos="576"/>
          <w:tab w:val="left" w:pos="720"/>
          <w:tab w:val="left" w:pos="1440"/>
          <w:tab w:val="left" w:pos="2160"/>
          <w:tab w:val="left" w:pos="2880"/>
          <w:tab w:val="left" w:pos="3600"/>
        </w:tabs>
        <w:spacing w:after="0"/>
        <w:ind w:left="720"/>
      </w:pPr>
    </w:p>
    <w:p w:rsidR="00711AAB" w:rsidRPr="00FC5F87" w:rsidRDefault="00711AAB" w:rsidP="00FC5F87">
      <w:pPr>
        <w:pStyle w:val="Heading1"/>
        <w:keepNext w:val="0"/>
        <w:keepLines w:val="0"/>
        <w:tabs>
          <w:tab w:val="left" w:pos="720"/>
          <w:tab w:val="left" w:pos="2160"/>
          <w:tab w:val="left" w:pos="2880"/>
          <w:tab w:val="left" w:pos="3600"/>
        </w:tabs>
        <w:spacing w:after="0"/>
      </w:pPr>
      <w:r w:rsidRPr="00FC5F87">
        <w:t>322</w:t>
      </w:r>
      <w:r w:rsidRPr="00FC5F87">
        <w:tab/>
      </w:r>
      <w:r w:rsidR="006B1389">
        <w:tab/>
      </w:r>
      <w:r w:rsidRPr="00FC5F87">
        <w:t>STATE BOARD OF LICENSURE FOR PROFESSIONAL ENGINEERS</w:t>
      </w:r>
    </w:p>
    <w:p w:rsidR="00FC5F87" w:rsidRPr="00FC5F87" w:rsidRDefault="00FC5F87" w:rsidP="00FC5F87">
      <w:pPr>
        <w:pStyle w:val="Paragr2"/>
        <w:numPr>
          <w:ilvl w:val="0"/>
          <w:numId w:val="0"/>
        </w:numPr>
        <w:tabs>
          <w:tab w:val="clear" w:pos="576"/>
          <w:tab w:val="left" w:pos="720"/>
          <w:tab w:val="left" w:pos="1440"/>
          <w:tab w:val="left" w:pos="2160"/>
          <w:tab w:val="left" w:pos="2880"/>
          <w:tab w:val="left" w:pos="3600"/>
        </w:tabs>
        <w:spacing w:after="0"/>
        <w:ind w:left="720"/>
      </w:pPr>
    </w:p>
    <w:p w:rsidR="00711AAB" w:rsidRPr="00FC5F87" w:rsidRDefault="00711AAB" w:rsidP="00FC5F87">
      <w:pPr>
        <w:pStyle w:val="Heading1"/>
        <w:keepNext w:val="0"/>
        <w:keepLines w:val="0"/>
        <w:tabs>
          <w:tab w:val="left" w:pos="720"/>
          <w:tab w:val="left" w:pos="2160"/>
          <w:tab w:val="left" w:pos="2880"/>
          <w:tab w:val="left" w:pos="3600"/>
        </w:tabs>
        <w:spacing w:after="0"/>
      </w:pPr>
      <w:r w:rsidRPr="00FC5F87">
        <w:t>Chapter 6:</w:t>
      </w:r>
      <w:r w:rsidRPr="00FC5F87">
        <w:tab/>
        <w:t>ADVISORY RULINGS</w:t>
      </w:r>
    </w:p>
    <w:p w:rsidR="00711AAB" w:rsidRPr="00FC5F87" w:rsidRDefault="00711AAB" w:rsidP="00FC5F87">
      <w:pPr>
        <w:pBdr>
          <w:bottom w:val="single" w:sz="12" w:space="1" w:color="auto"/>
        </w:pBdr>
        <w:tabs>
          <w:tab w:val="left" w:pos="720"/>
          <w:tab w:val="left" w:pos="1440"/>
          <w:tab w:val="left" w:pos="2160"/>
          <w:tab w:val="left" w:pos="2880"/>
          <w:tab w:val="left" w:pos="3600"/>
        </w:tabs>
        <w:rPr>
          <w:rFonts w:ascii="Times New Roman" w:hAnsi="Times New Roman"/>
        </w:rPr>
      </w:pPr>
    </w:p>
    <w:p w:rsidR="00711AAB" w:rsidRPr="00FC5F87" w:rsidRDefault="00711AAB" w:rsidP="00FC5F87">
      <w:pPr>
        <w:tabs>
          <w:tab w:val="left" w:pos="720"/>
          <w:tab w:val="left" w:pos="1440"/>
          <w:tab w:val="left" w:pos="2160"/>
          <w:tab w:val="left" w:pos="2880"/>
          <w:tab w:val="left" w:pos="3600"/>
        </w:tabs>
        <w:rPr>
          <w:rFonts w:ascii="Times New Roman" w:hAnsi="Times New Roman"/>
          <w:b/>
        </w:rPr>
      </w:pPr>
    </w:p>
    <w:p w:rsidR="00711AAB" w:rsidRPr="00FC5F87" w:rsidRDefault="00711AAB" w:rsidP="00FC5F87">
      <w:pPr>
        <w:tabs>
          <w:tab w:val="left" w:pos="720"/>
          <w:tab w:val="left" w:pos="1440"/>
          <w:tab w:val="left" w:pos="2160"/>
          <w:tab w:val="left" w:pos="2880"/>
          <w:tab w:val="left" w:pos="3600"/>
        </w:tabs>
        <w:rPr>
          <w:rFonts w:ascii="Times New Roman" w:hAnsi="Times New Roman"/>
        </w:rPr>
      </w:pPr>
      <w:r w:rsidRPr="00FC5F87">
        <w:rPr>
          <w:rFonts w:ascii="Times New Roman" w:hAnsi="Times New Roman"/>
          <w:b/>
        </w:rPr>
        <w:t>SUMMARY:</w:t>
      </w:r>
      <w:r w:rsidRPr="00FC5F87">
        <w:rPr>
          <w:rFonts w:ascii="Times New Roman" w:hAnsi="Times New Roman"/>
        </w:rPr>
        <w:t xml:space="preserve"> This chapter contains provisions relating to the issuance of advisory rulings by the Board.</w:t>
      </w:r>
    </w:p>
    <w:p w:rsidR="00711AAB" w:rsidRPr="00FC5F87" w:rsidRDefault="00711AAB" w:rsidP="00FC5F87">
      <w:pPr>
        <w:pBdr>
          <w:bottom w:val="single" w:sz="12" w:space="1" w:color="auto"/>
        </w:pBdr>
        <w:tabs>
          <w:tab w:val="left" w:pos="720"/>
          <w:tab w:val="left" w:pos="1440"/>
          <w:tab w:val="left" w:pos="2160"/>
          <w:tab w:val="left" w:pos="2880"/>
          <w:tab w:val="left" w:pos="3600"/>
        </w:tabs>
        <w:rPr>
          <w:rFonts w:ascii="Times New Roman" w:hAnsi="Times New Roman"/>
        </w:rPr>
      </w:pPr>
    </w:p>
    <w:p w:rsidR="00711AAB" w:rsidRDefault="00711AAB" w:rsidP="00FC5F87">
      <w:pPr>
        <w:tabs>
          <w:tab w:val="left" w:pos="720"/>
          <w:tab w:val="left" w:pos="1440"/>
          <w:tab w:val="left" w:pos="2160"/>
          <w:tab w:val="left" w:pos="2880"/>
          <w:tab w:val="left" w:pos="3600"/>
        </w:tabs>
        <w:rPr>
          <w:rFonts w:ascii="Times New Roman" w:hAnsi="Times New Roman"/>
        </w:rPr>
      </w:pPr>
    </w:p>
    <w:p w:rsidR="00FC5F87" w:rsidRPr="00FC5F87" w:rsidRDefault="00FC5F87" w:rsidP="00FC5F87">
      <w:pPr>
        <w:tabs>
          <w:tab w:val="left" w:pos="720"/>
          <w:tab w:val="left" w:pos="1440"/>
          <w:tab w:val="left" w:pos="2160"/>
          <w:tab w:val="left" w:pos="2880"/>
          <w:tab w:val="left" w:pos="3600"/>
        </w:tabs>
        <w:rPr>
          <w:rFonts w:ascii="Times New Roman" w:hAnsi="Times New Roman"/>
        </w:rPr>
      </w:pPr>
    </w:p>
    <w:p w:rsidR="00711AAB" w:rsidRDefault="00FC5F87" w:rsidP="00FC5F87">
      <w:pPr>
        <w:pStyle w:val="Section"/>
        <w:keepNext w:val="0"/>
        <w:keepLines w:val="0"/>
        <w:numPr>
          <w:ilvl w:val="0"/>
          <w:numId w:val="0"/>
        </w:numPr>
        <w:tabs>
          <w:tab w:val="left" w:pos="720"/>
          <w:tab w:val="left" w:pos="1440"/>
          <w:tab w:val="left" w:pos="2160"/>
          <w:tab w:val="left" w:pos="2880"/>
          <w:tab w:val="left" w:pos="3600"/>
        </w:tabs>
        <w:spacing w:before="0" w:after="0"/>
      </w:pPr>
      <w:r>
        <w:t xml:space="preserve">SECTION 1: </w:t>
      </w:r>
      <w:r w:rsidR="00711AAB" w:rsidRPr="00FC5F87">
        <w:t>Advisory Rulings</w:t>
      </w:r>
    </w:p>
    <w:p w:rsidR="00FC5F87" w:rsidRPr="00FC5F87" w:rsidRDefault="00FC5F87" w:rsidP="00FC5F87">
      <w:pPr>
        <w:pStyle w:val="Paragr2"/>
        <w:numPr>
          <w:ilvl w:val="0"/>
          <w:numId w:val="0"/>
        </w:numPr>
        <w:spacing w:after="0"/>
        <w:ind w:left="720"/>
      </w:pPr>
    </w:p>
    <w:p w:rsidR="00711AAB" w:rsidRPr="006B1389" w:rsidRDefault="00FC5F87" w:rsidP="00FC5F87">
      <w:pPr>
        <w:pStyle w:val="Paragr2"/>
        <w:numPr>
          <w:ilvl w:val="0"/>
          <w:numId w:val="0"/>
        </w:numPr>
        <w:tabs>
          <w:tab w:val="clear" w:pos="576"/>
          <w:tab w:val="left" w:pos="720"/>
          <w:tab w:val="left" w:pos="1440"/>
          <w:tab w:val="left" w:pos="2160"/>
          <w:tab w:val="left" w:pos="2880"/>
          <w:tab w:val="left" w:pos="3600"/>
        </w:tabs>
        <w:spacing w:after="0"/>
        <w:ind w:left="1440" w:hanging="720"/>
      </w:pPr>
      <w:r w:rsidRPr="006B1389">
        <w:t>1.</w:t>
      </w:r>
      <w:r w:rsidRPr="006B1389">
        <w:rPr>
          <w:b/>
        </w:rPr>
        <w:tab/>
      </w:r>
      <w:r w:rsidR="00711AAB" w:rsidRPr="006B1389">
        <w:rPr>
          <w:b/>
        </w:rPr>
        <w:t>Authority and Scope:</w:t>
      </w:r>
      <w:r w:rsidR="00711AAB" w:rsidRPr="006B1389">
        <w:t xml:space="preserve"> The Board may issue advisory rulings pursuant to 5 MRSA, Section 9001, concerning the applicability of any statute or rule it administers to an existing factual situation. Advisory rulings will be issued at the Board’s discretion and only upon request. Each request will be individually reviewed to determine whether an advisory ruling is appropriate. The Board may decline to issue an advisory ruling if the question is hypothetical, if there is insufficient experience upon which to base a ruling, or for any other reason the Board deems proper.</w:t>
      </w:r>
    </w:p>
    <w:p w:rsidR="00FC5F87" w:rsidRDefault="00FC5F87" w:rsidP="00FC5F87">
      <w:pPr>
        <w:pStyle w:val="Paragr2"/>
        <w:numPr>
          <w:ilvl w:val="0"/>
          <w:numId w:val="0"/>
        </w:numPr>
        <w:tabs>
          <w:tab w:val="clear" w:pos="576"/>
          <w:tab w:val="left" w:pos="720"/>
          <w:tab w:val="left" w:pos="1440"/>
          <w:tab w:val="left" w:pos="2160"/>
          <w:tab w:val="left" w:pos="2880"/>
          <w:tab w:val="left" w:pos="3600"/>
        </w:tabs>
        <w:spacing w:after="0"/>
        <w:ind w:left="1080"/>
        <w:rPr>
          <w:b/>
        </w:rPr>
      </w:pPr>
    </w:p>
    <w:p w:rsidR="00711AAB" w:rsidRDefault="00FC5F87" w:rsidP="00FC5F87">
      <w:pPr>
        <w:pStyle w:val="Paragr2"/>
        <w:numPr>
          <w:ilvl w:val="0"/>
          <w:numId w:val="0"/>
        </w:numPr>
        <w:tabs>
          <w:tab w:val="clear" w:pos="576"/>
          <w:tab w:val="left" w:pos="720"/>
          <w:tab w:val="left" w:pos="1440"/>
          <w:tab w:val="left" w:pos="2160"/>
          <w:tab w:val="left" w:pos="2880"/>
          <w:tab w:val="left" w:pos="3600"/>
        </w:tabs>
        <w:spacing w:after="0"/>
        <w:ind w:left="1440" w:hanging="720"/>
      </w:pPr>
      <w:r>
        <w:t>2.</w:t>
      </w:r>
      <w:r>
        <w:tab/>
      </w:r>
      <w:r w:rsidR="00711AAB" w:rsidRPr="00FC5F87">
        <w:rPr>
          <w:b/>
        </w:rPr>
        <w:t>Submission:</w:t>
      </w:r>
      <w:r w:rsidR="00711AAB" w:rsidRPr="00FC5F87">
        <w:t xml:space="preserve"> Requests for advisory rulings must be in writing and must set forth in detail all facts pertinent to the question. The Board may require additional information to complete a factual background for its ruling.</w:t>
      </w:r>
    </w:p>
    <w:p w:rsidR="00FC5F87" w:rsidRPr="00FC5F87" w:rsidRDefault="00FC5F87" w:rsidP="00FC5F87">
      <w:pPr>
        <w:pStyle w:val="Paragr2"/>
        <w:numPr>
          <w:ilvl w:val="0"/>
          <w:numId w:val="0"/>
        </w:numPr>
        <w:tabs>
          <w:tab w:val="clear" w:pos="576"/>
          <w:tab w:val="left" w:pos="720"/>
          <w:tab w:val="left" w:pos="1440"/>
          <w:tab w:val="left" w:pos="2160"/>
          <w:tab w:val="left" w:pos="2880"/>
          <w:tab w:val="left" w:pos="3600"/>
        </w:tabs>
        <w:spacing w:after="0"/>
        <w:ind w:left="1440" w:hanging="720"/>
      </w:pPr>
    </w:p>
    <w:p w:rsidR="00711AAB" w:rsidRPr="00FC5F87" w:rsidRDefault="00FC5F87" w:rsidP="00FC5F87">
      <w:pPr>
        <w:pStyle w:val="Paragr2"/>
        <w:numPr>
          <w:ilvl w:val="0"/>
          <w:numId w:val="0"/>
        </w:numPr>
        <w:tabs>
          <w:tab w:val="clear" w:pos="576"/>
          <w:tab w:val="left" w:pos="720"/>
          <w:tab w:val="left" w:pos="1440"/>
          <w:tab w:val="left" w:pos="2160"/>
          <w:tab w:val="left" w:pos="2880"/>
          <w:tab w:val="left" w:pos="3600"/>
        </w:tabs>
        <w:spacing w:after="0"/>
        <w:ind w:right="-360" w:firstLine="720"/>
      </w:pPr>
      <w:r>
        <w:t>3.</w:t>
      </w:r>
      <w:r>
        <w:tab/>
      </w:r>
      <w:r w:rsidR="00711AAB" w:rsidRPr="00FC5F87">
        <w:rPr>
          <w:b/>
        </w:rPr>
        <w:t>Consideration:</w:t>
      </w:r>
      <w:r w:rsidR="00711AAB" w:rsidRPr="00FC5F87">
        <w:t xml:space="preserve"> The Board will acknowledge all requests for advisory rulings within 60 days.</w:t>
      </w:r>
    </w:p>
    <w:p w:rsidR="00FC5F87" w:rsidRDefault="00FC5F87" w:rsidP="00FC5F87">
      <w:pPr>
        <w:pStyle w:val="Paragr3"/>
        <w:numPr>
          <w:ilvl w:val="0"/>
          <w:numId w:val="0"/>
        </w:numPr>
        <w:spacing w:after="0"/>
        <w:ind w:left="1980"/>
      </w:pPr>
    </w:p>
    <w:p w:rsidR="00711AAB" w:rsidRPr="00FC5F87" w:rsidRDefault="00FC5F87" w:rsidP="00FC5F87">
      <w:pPr>
        <w:pStyle w:val="Paragr3"/>
        <w:numPr>
          <w:ilvl w:val="0"/>
          <w:numId w:val="0"/>
        </w:numPr>
        <w:spacing w:after="0"/>
        <w:ind w:left="2160" w:hanging="720"/>
      </w:pPr>
      <w:r>
        <w:t>A.</w:t>
      </w:r>
      <w:r>
        <w:tab/>
      </w:r>
      <w:r w:rsidR="00711AAB" w:rsidRPr="00FC5F87">
        <w:t>The acknowledgement will state whether a ruling will be given.</w:t>
      </w:r>
    </w:p>
    <w:p w:rsidR="00FC5F87" w:rsidRDefault="00FC5F87" w:rsidP="00FC5F87">
      <w:pPr>
        <w:pStyle w:val="Paragr3"/>
        <w:numPr>
          <w:ilvl w:val="0"/>
          <w:numId w:val="0"/>
        </w:numPr>
        <w:spacing w:after="0"/>
        <w:ind w:left="2160" w:hanging="720"/>
      </w:pPr>
    </w:p>
    <w:p w:rsidR="00711AAB" w:rsidRPr="00FC5F87" w:rsidRDefault="00FC5F87" w:rsidP="00FC5F87">
      <w:pPr>
        <w:pStyle w:val="Paragr3"/>
        <w:numPr>
          <w:ilvl w:val="0"/>
          <w:numId w:val="0"/>
        </w:numPr>
        <w:spacing w:after="0"/>
        <w:ind w:left="2160" w:hanging="720"/>
      </w:pPr>
      <w:r>
        <w:t>B.</w:t>
      </w:r>
      <w:r>
        <w:tab/>
      </w:r>
      <w:r w:rsidR="00711AAB" w:rsidRPr="00FC5F87">
        <w:t>Alternatively, the acknowledgement may request additional information to determine whether an advisory ruling is appropriate.</w:t>
      </w:r>
    </w:p>
    <w:p w:rsidR="00FC5F87" w:rsidRDefault="00FC5F87" w:rsidP="00FC5F87">
      <w:pPr>
        <w:pStyle w:val="Paragr3"/>
        <w:numPr>
          <w:ilvl w:val="0"/>
          <w:numId w:val="0"/>
        </w:numPr>
        <w:spacing w:after="0"/>
        <w:ind w:left="2160" w:hanging="720"/>
      </w:pPr>
    </w:p>
    <w:p w:rsidR="00711AAB" w:rsidRDefault="00FC5F87" w:rsidP="00FC5F87">
      <w:pPr>
        <w:pStyle w:val="Paragr3"/>
        <w:numPr>
          <w:ilvl w:val="0"/>
          <w:numId w:val="0"/>
        </w:numPr>
        <w:spacing w:after="0"/>
        <w:ind w:left="2160" w:hanging="720"/>
      </w:pPr>
      <w:r>
        <w:t>C.</w:t>
      </w:r>
      <w:r>
        <w:tab/>
      </w:r>
      <w:r w:rsidR="00711AAB" w:rsidRPr="00FC5F87">
        <w:t>All advisory rulings must be in writing and include a statement of the facts or assumptions or both upon which the rulings are based. The statement must be sufficiently detailed to allow understanding of the basis of the opinion without reference to other documents. Advisory rulings are signed by the chief officer of the Board and numbered in an appropriate serial manner.</w:t>
      </w:r>
    </w:p>
    <w:p w:rsidR="00FC5F87" w:rsidRPr="00FC5F87" w:rsidRDefault="00FC5F87" w:rsidP="00FC5F87">
      <w:pPr>
        <w:pStyle w:val="Paragr3"/>
        <w:numPr>
          <w:ilvl w:val="0"/>
          <w:numId w:val="0"/>
        </w:numPr>
        <w:spacing w:after="0"/>
        <w:ind w:left="2160" w:hanging="720"/>
      </w:pPr>
    </w:p>
    <w:p w:rsidR="00711AAB" w:rsidRPr="00FC5F87" w:rsidRDefault="00FC5F87" w:rsidP="00FC5F87">
      <w:pPr>
        <w:pStyle w:val="Paragr2"/>
        <w:numPr>
          <w:ilvl w:val="0"/>
          <w:numId w:val="0"/>
        </w:numPr>
        <w:tabs>
          <w:tab w:val="clear" w:pos="576"/>
          <w:tab w:val="left" w:pos="720"/>
          <w:tab w:val="left" w:pos="1440"/>
          <w:tab w:val="left" w:pos="2160"/>
          <w:tab w:val="left" w:pos="2880"/>
          <w:tab w:val="left" w:pos="3600"/>
        </w:tabs>
        <w:spacing w:after="0"/>
        <w:ind w:left="1440" w:hanging="720"/>
      </w:pPr>
      <w:r w:rsidRPr="000D6CD0">
        <w:t>4.</w:t>
      </w:r>
      <w:r w:rsidRPr="000D6CD0">
        <w:tab/>
      </w:r>
      <w:r w:rsidR="00711AAB" w:rsidRPr="00FC5F87">
        <w:rPr>
          <w:b/>
        </w:rPr>
        <w:t>Disposition:</w:t>
      </w:r>
      <w:r w:rsidR="00711AAB" w:rsidRPr="00FC5F87">
        <w:t xml:space="preserve"> Each completed advisory ruling will be mailed to the requesting party and a copy will be kept by the Board. All completed advisory rulings are public documents and available for public inspection during the Board’s normal working hours. In addition, the Board may publish or circulate any advisory ruling as it deems appropriate.</w:t>
      </w:r>
    </w:p>
    <w:p w:rsidR="00711AAB" w:rsidRPr="00FC5F87" w:rsidRDefault="00711AAB" w:rsidP="00FC5F87">
      <w:pPr>
        <w:pBdr>
          <w:bottom w:val="single" w:sz="12" w:space="1" w:color="auto"/>
        </w:pBdr>
        <w:tabs>
          <w:tab w:val="left" w:pos="720"/>
          <w:tab w:val="left" w:pos="1440"/>
          <w:tab w:val="left" w:pos="2160"/>
          <w:tab w:val="left" w:pos="2880"/>
          <w:tab w:val="left" w:pos="3600"/>
        </w:tabs>
        <w:rPr>
          <w:rFonts w:ascii="Times New Roman" w:hAnsi="Times New Roman"/>
        </w:rPr>
      </w:pPr>
    </w:p>
    <w:p w:rsidR="00711AAB" w:rsidRPr="00FC5F87" w:rsidRDefault="00711AAB" w:rsidP="00FC5F87">
      <w:pPr>
        <w:tabs>
          <w:tab w:val="left" w:pos="720"/>
          <w:tab w:val="left" w:pos="1440"/>
          <w:tab w:val="left" w:pos="2160"/>
          <w:tab w:val="left" w:pos="2880"/>
          <w:tab w:val="left" w:pos="3600"/>
        </w:tabs>
        <w:rPr>
          <w:rFonts w:ascii="Times New Roman" w:hAnsi="Times New Roman"/>
        </w:rPr>
      </w:pPr>
    </w:p>
    <w:p w:rsidR="00711AAB" w:rsidRPr="00FC5F87" w:rsidRDefault="00711AAB" w:rsidP="006B1389">
      <w:pPr>
        <w:tabs>
          <w:tab w:val="left" w:pos="720"/>
          <w:tab w:val="left" w:pos="1440"/>
          <w:tab w:val="left" w:pos="2160"/>
          <w:tab w:val="left" w:pos="2880"/>
          <w:tab w:val="left" w:pos="3600"/>
        </w:tabs>
        <w:rPr>
          <w:rFonts w:ascii="Times New Roman" w:hAnsi="Times New Roman"/>
        </w:rPr>
      </w:pPr>
      <w:r w:rsidRPr="00FC5F87">
        <w:rPr>
          <w:rFonts w:ascii="Times New Roman" w:hAnsi="Times New Roman"/>
        </w:rPr>
        <w:t>STATUTORY AUTHORITY: 32 M.R.S.A. Section 1306(2)</w:t>
      </w:r>
    </w:p>
    <w:p w:rsidR="00FC5F87" w:rsidRPr="00FC5F87" w:rsidRDefault="006B1389" w:rsidP="006B1389">
      <w:pPr>
        <w:tabs>
          <w:tab w:val="left" w:pos="2160"/>
          <w:tab w:val="left" w:pos="2880"/>
          <w:tab w:val="left" w:pos="3600"/>
        </w:tabs>
        <w:rPr>
          <w:rFonts w:ascii="Times New Roman" w:hAnsi="Times New Roman"/>
        </w:rPr>
      </w:pPr>
      <w:r>
        <w:rPr>
          <w:rFonts w:ascii="Times New Roman" w:hAnsi="Times New Roman"/>
        </w:rPr>
        <w:tab/>
      </w:r>
    </w:p>
    <w:p w:rsidR="00FC5F87" w:rsidRPr="00FC5F87" w:rsidRDefault="00FC5F87" w:rsidP="006B1389">
      <w:pPr>
        <w:tabs>
          <w:tab w:val="left" w:pos="720"/>
          <w:tab w:val="left" w:pos="1440"/>
          <w:tab w:val="left" w:pos="2160"/>
          <w:tab w:val="left" w:pos="2880"/>
          <w:tab w:val="left" w:pos="3600"/>
        </w:tabs>
        <w:rPr>
          <w:rFonts w:ascii="Times New Roman" w:hAnsi="Times New Roman"/>
        </w:rPr>
      </w:pPr>
      <w:r w:rsidRPr="00FC5F87">
        <w:rPr>
          <w:rFonts w:ascii="Times New Roman" w:hAnsi="Times New Roman"/>
        </w:rPr>
        <w:t>EFFECTIVE DATE:</w:t>
      </w:r>
    </w:p>
    <w:p w:rsidR="00FC5F87" w:rsidRPr="00FC5F87" w:rsidRDefault="006B1389" w:rsidP="006B1389">
      <w:pPr>
        <w:tabs>
          <w:tab w:val="left" w:pos="720"/>
          <w:tab w:val="left" w:pos="1440"/>
          <w:tab w:val="left" w:pos="2160"/>
          <w:tab w:val="left" w:pos="2880"/>
          <w:tab w:val="left" w:pos="3600"/>
        </w:tabs>
        <w:rPr>
          <w:rFonts w:ascii="Times New Roman" w:hAnsi="Times New Roman"/>
        </w:rPr>
      </w:pPr>
      <w:r>
        <w:rPr>
          <w:rFonts w:ascii="Times New Roman" w:hAnsi="Times New Roman"/>
        </w:rPr>
        <w:tab/>
      </w:r>
      <w:r w:rsidR="00FC5F87" w:rsidRPr="00FC5F87">
        <w:rPr>
          <w:rFonts w:ascii="Times New Roman" w:hAnsi="Times New Roman"/>
        </w:rPr>
        <w:t>September 9, 2014 – filing 2014-219</w:t>
      </w:r>
    </w:p>
    <w:p w:rsidR="00FC5F87" w:rsidRPr="00FC5F87" w:rsidRDefault="00FC5F87" w:rsidP="006B1389">
      <w:pPr>
        <w:tabs>
          <w:tab w:val="left" w:pos="720"/>
          <w:tab w:val="left" w:pos="1440"/>
          <w:tab w:val="left" w:pos="2160"/>
          <w:tab w:val="left" w:pos="2880"/>
          <w:tab w:val="left" w:pos="3600"/>
        </w:tabs>
        <w:rPr>
          <w:rFonts w:ascii="Times New Roman" w:hAnsi="Times New Roman"/>
        </w:rPr>
      </w:pPr>
    </w:p>
    <w:p w:rsidR="00FC5F87" w:rsidRPr="00FC5F87" w:rsidRDefault="00FC5F87" w:rsidP="006B1389">
      <w:pPr>
        <w:tabs>
          <w:tab w:val="left" w:pos="720"/>
          <w:tab w:val="left" w:pos="1440"/>
          <w:tab w:val="left" w:pos="2160"/>
          <w:tab w:val="left" w:pos="2880"/>
          <w:tab w:val="left" w:pos="3600"/>
        </w:tabs>
        <w:rPr>
          <w:rFonts w:ascii="Times New Roman" w:hAnsi="Times New Roman"/>
        </w:rPr>
      </w:pPr>
      <w:r w:rsidRPr="00FC5F87">
        <w:rPr>
          <w:rFonts w:ascii="Times New Roman" w:hAnsi="Times New Roman"/>
        </w:rPr>
        <w:t>REPOSTED:</w:t>
      </w:r>
    </w:p>
    <w:p w:rsidR="006B1389" w:rsidRPr="00FC5F87" w:rsidRDefault="006B1389">
      <w:pPr>
        <w:tabs>
          <w:tab w:val="left" w:pos="720"/>
          <w:tab w:val="left" w:pos="1440"/>
          <w:tab w:val="left" w:pos="2160"/>
          <w:tab w:val="left" w:pos="2880"/>
          <w:tab w:val="left" w:pos="3600"/>
        </w:tabs>
        <w:rPr>
          <w:rFonts w:ascii="Times New Roman" w:hAnsi="Times New Roman"/>
        </w:rPr>
      </w:pPr>
      <w:r>
        <w:rPr>
          <w:rFonts w:ascii="Times New Roman" w:hAnsi="Times New Roman"/>
        </w:rPr>
        <w:tab/>
      </w:r>
      <w:r w:rsidR="00FC5F87" w:rsidRPr="00FC5F87">
        <w:rPr>
          <w:rFonts w:ascii="Times New Roman" w:hAnsi="Times New Roman"/>
        </w:rPr>
        <w:t>September 23, 2014 as a separate chapter</w:t>
      </w:r>
    </w:p>
    <w:sectPr w:rsidR="006B1389" w:rsidRPr="00FC5F87" w:rsidSect="006B1389">
      <w:headerReference w:type="default" r:id="rId8"/>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89" w:rsidRDefault="006B1389" w:rsidP="006B1389">
      <w:r>
        <w:separator/>
      </w:r>
    </w:p>
  </w:endnote>
  <w:endnote w:type="continuationSeparator" w:id="0">
    <w:p w:rsidR="006B1389" w:rsidRDefault="006B1389" w:rsidP="006B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89" w:rsidRDefault="006B1389" w:rsidP="006B1389">
      <w:r>
        <w:separator/>
      </w:r>
    </w:p>
  </w:footnote>
  <w:footnote w:type="continuationSeparator" w:id="0">
    <w:p w:rsidR="006B1389" w:rsidRDefault="006B1389" w:rsidP="006B1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89" w:rsidRPr="006B1389" w:rsidRDefault="006B1389" w:rsidP="006B1389">
    <w:pPr>
      <w:pStyle w:val="Header"/>
      <w:pBdr>
        <w:bottom w:val="single" w:sz="4" w:space="1" w:color="auto"/>
      </w:pBdr>
      <w:jc w:val="right"/>
      <w:rPr>
        <w:rFonts w:ascii="Times New Roman" w:hAnsi="Times New Roman"/>
        <w:sz w:val="18"/>
        <w:szCs w:val="18"/>
      </w:rPr>
    </w:pPr>
    <w:r w:rsidRPr="006B1389">
      <w:rPr>
        <w:rFonts w:ascii="Times New Roman" w:hAnsi="Times New Roman"/>
        <w:sz w:val="18"/>
        <w:szCs w:val="18"/>
      </w:rPr>
      <w:t xml:space="preserve">02-322 Chapter 6     page </w:t>
    </w:r>
    <w:r w:rsidRPr="006B1389">
      <w:rPr>
        <w:rFonts w:ascii="Times New Roman" w:hAnsi="Times New Roman"/>
        <w:sz w:val="18"/>
        <w:szCs w:val="18"/>
      </w:rPr>
      <w:fldChar w:fldCharType="begin"/>
    </w:r>
    <w:r w:rsidRPr="006B1389">
      <w:rPr>
        <w:rFonts w:ascii="Times New Roman" w:hAnsi="Times New Roman"/>
        <w:sz w:val="18"/>
        <w:szCs w:val="18"/>
      </w:rPr>
      <w:instrText xml:space="preserve"> PAGE   \* MERGEFORMAT </w:instrText>
    </w:r>
    <w:r w:rsidRPr="006B1389">
      <w:rPr>
        <w:rFonts w:ascii="Times New Roman" w:hAnsi="Times New Roman"/>
        <w:sz w:val="18"/>
        <w:szCs w:val="18"/>
      </w:rPr>
      <w:fldChar w:fldCharType="separate"/>
    </w:r>
    <w:r>
      <w:rPr>
        <w:rFonts w:ascii="Times New Roman" w:hAnsi="Times New Roman"/>
        <w:noProof/>
        <w:sz w:val="18"/>
        <w:szCs w:val="18"/>
      </w:rPr>
      <w:t>2</w:t>
    </w:r>
    <w:r w:rsidRPr="006B1389">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B1912"/>
    <w:multiLevelType w:val="hybridMultilevel"/>
    <w:tmpl w:val="EDD0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03221B"/>
    <w:multiLevelType w:val="multilevel"/>
    <w:tmpl w:val="F16A0AC4"/>
    <w:lvl w:ilvl="0">
      <w:start w:val="1"/>
      <w:numFmt w:val="decimal"/>
      <w:pStyle w:val="Section"/>
      <w:suff w:val="nothing"/>
      <w:lvlText w:val="SECTION %1 - "/>
      <w:lvlJc w:val="left"/>
      <w:pPr>
        <w:ind w:left="3024" w:hanging="3024"/>
      </w:pPr>
      <w:rPr>
        <w:rFonts w:hint="default"/>
      </w:rPr>
    </w:lvl>
    <w:lvl w:ilvl="1">
      <w:start w:val="1"/>
      <w:numFmt w:val="decimal"/>
      <w:pStyle w:val="Paragr2"/>
      <w:lvlText w:val="%2."/>
      <w:lvlJc w:val="left"/>
      <w:pPr>
        <w:tabs>
          <w:tab w:val="num" w:pos="1296"/>
        </w:tabs>
        <w:ind w:left="1296" w:hanging="576"/>
      </w:pPr>
      <w:rPr>
        <w:rFonts w:hint="default"/>
        <w:b w:val="0"/>
      </w:rPr>
    </w:lvl>
    <w:lvl w:ilvl="2">
      <w:start w:val="1"/>
      <w:numFmt w:val="upperLetter"/>
      <w:pStyle w:val="Paragr3"/>
      <w:lvlText w:val="%3."/>
      <w:lvlJc w:val="left"/>
      <w:pPr>
        <w:tabs>
          <w:tab w:val="num" w:pos="1872"/>
        </w:tabs>
        <w:ind w:left="1872" w:hanging="576"/>
      </w:pPr>
      <w:rPr>
        <w:rFonts w:hint="default"/>
      </w:rPr>
    </w:lvl>
    <w:lvl w:ilvl="3">
      <w:start w:val="1"/>
      <w:numFmt w:val="decimal"/>
      <w:pStyle w:val="Paragr4"/>
      <w:lvlText w:val="(%4)"/>
      <w:lvlJc w:val="left"/>
      <w:pPr>
        <w:tabs>
          <w:tab w:val="num" w:pos="2448"/>
        </w:tabs>
        <w:ind w:left="2448" w:hanging="576"/>
      </w:pPr>
      <w:rPr>
        <w:rFonts w:hint="default"/>
      </w:rPr>
    </w:lvl>
    <w:lvl w:ilvl="4">
      <w:start w:val="1"/>
      <w:numFmt w:val="lowerLetter"/>
      <w:pStyle w:val="Paragr5"/>
      <w:lvlText w:val="(%5)"/>
      <w:lvlJc w:val="left"/>
      <w:pPr>
        <w:tabs>
          <w:tab w:val="num" w:pos="3024"/>
        </w:tabs>
        <w:ind w:left="3024" w:hanging="576"/>
      </w:pPr>
      <w:rPr>
        <w:rFonts w:hint="default"/>
      </w:rPr>
    </w:lvl>
    <w:lvl w:ilvl="5">
      <w:start w:val="1"/>
      <w:numFmt w:val="lowerRoman"/>
      <w:pStyle w:val="Paragr6"/>
      <w:lvlText w:val="(%6)"/>
      <w:lvlJc w:val="left"/>
      <w:pPr>
        <w:tabs>
          <w:tab w:val="num" w:pos="3456"/>
        </w:tabs>
        <w:ind w:left="3456" w:hanging="432"/>
      </w:pPr>
      <w:rPr>
        <w:rFonts w:hint="default"/>
      </w:rPr>
    </w:lvl>
    <w:lvl w:ilvl="6">
      <w:start w:val="1"/>
      <w:numFmt w:val="none"/>
      <w:lvlText w:val="%7."/>
      <w:lvlJc w:val="left"/>
      <w:pPr>
        <w:tabs>
          <w:tab w:val="num" w:pos="2016"/>
        </w:tabs>
        <w:ind w:left="2016" w:hanging="576"/>
      </w:pPr>
      <w:rPr>
        <w:rFonts w:hint="default"/>
      </w:rPr>
    </w:lvl>
    <w:lvl w:ilvl="7">
      <w:start w:val="1"/>
      <w:numFmt w:val="none"/>
      <w:lvlText w:val="%8"/>
      <w:lvlJc w:val="left"/>
      <w:pPr>
        <w:tabs>
          <w:tab w:val="num" w:pos="2592"/>
        </w:tabs>
        <w:ind w:left="0" w:firstLine="2448"/>
      </w:pPr>
      <w:rPr>
        <w:rFonts w:hint="default"/>
      </w:rPr>
    </w:lvl>
    <w:lvl w:ilvl="8">
      <w:start w:val="1"/>
      <w:numFmt w:val="none"/>
      <w:lvlText w:val="%9"/>
      <w:lvlJc w:val="left"/>
      <w:pPr>
        <w:tabs>
          <w:tab w:val="num" w:pos="3168"/>
        </w:tabs>
        <w:ind w:left="3168" w:hanging="57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7"/>
    <w:rsid w:val="000035EA"/>
    <w:rsid w:val="00003D20"/>
    <w:rsid w:val="00004AE8"/>
    <w:rsid w:val="0000558F"/>
    <w:rsid w:val="00005993"/>
    <w:rsid w:val="0001091C"/>
    <w:rsid w:val="00010D20"/>
    <w:rsid w:val="00011694"/>
    <w:rsid w:val="000134D3"/>
    <w:rsid w:val="0001442B"/>
    <w:rsid w:val="000158A7"/>
    <w:rsid w:val="00015F71"/>
    <w:rsid w:val="00021A52"/>
    <w:rsid w:val="00025A00"/>
    <w:rsid w:val="000303D7"/>
    <w:rsid w:val="0003596C"/>
    <w:rsid w:val="00035B21"/>
    <w:rsid w:val="00036648"/>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774D6"/>
    <w:rsid w:val="00084395"/>
    <w:rsid w:val="00087182"/>
    <w:rsid w:val="00087701"/>
    <w:rsid w:val="00091992"/>
    <w:rsid w:val="0009291E"/>
    <w:rsid w:val="0009772A"/>
    <w:rsid w:val="00097EB8"/>
    <w:rsid w:val="000A05ED"/>
    <w:rsid w:val="000A30A8"/>
    <w:rsid w:val="000A6F2F"/>
    <w:rsid w:val="000B0830"/>
    <w:rsid w:val="000B13C8"/>
    <w:rsid w:val="000B47B2"/>
    <w:rsid w:val="000B4C34"/>
    <w:rsid w:val="000B5D01"/>
    <w:rsid w:val="000C0855"/>
    <w:rsid w:val="000C16C5"/>
    <w:rsid w:val="000C4682"/>
    <w:rsid w:val="000C74CA"/>
    <w:rsid w:val="000C75E8"/>
    <w:rsid w:val="000D0E5E"/>
    <w:rsid w:val="000D1BEC"/>
    <w:rsid w:val="000D5F79"/>
    <w:rsid w:val="000D6828"/>
    <w:rsid w:val="000D6CD0"/>
    <w:rsid w:val="000D6D09"/>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6B7B"/>
    <w:rsid w:val="00120586"/>
    <w:rsid w:val="00122B68"/>
    <w:rsid w:val="00124939"/>
    <w:rsid w:val="00124A20"/>
    <w:rsid w:val="00124D50"/>
    <w:rsid w:val="00125C8F"/>
    <w:rsid w:val="001267E3"/>
    <w:rsid w:val="00126872"/>
    <w:rsid w:val="00127308"/>
    <w:rsid w:val="001311AF"/>
    <w:rsid w:val="00131405"/>
    <w:rsid w:val="00131FBD"/>
    <w:rsid w:val="00132422"/>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4A54"/>
    <w:rsid w:val="001778EA"/>
    <w:rsid w:val="00177B04"/>
    <w:rsid w:val="00190B20"/>
    <w:rsid w:val="0019404B"/>
    <w:rsid w:val="001947C5"/>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625FD"/>
    <w:rsid w:val="00262B57"/>
    <w:rsid w:val="00262F16"/>
    <w:rsid w:val="00264A78"/>
    <w:rsid w:val="002667C8"/>
    <w:rsid w:val="00267F29"/>
    <w:rsid w:val="00272EAF"/>
    <w:rsid w:val="00275283"/>
    <w:rsid w:val="002765E3"/>
    <w:rsid w:val="0027686E"/>
    <w:rsid w:val="00276B7A"/>
    <w:rsid w:val="00283CFE"/>
    <w:rsid w:val="00283E1F"/>
    <w:rsid w:val="002841D2"/>
    <w:rsid w:val="00284CE5"/>
    <w:rsid w:val="00284E7B"/>
    <w:rsid w:val="00285FDB"/>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E14B7"/>
    <w:rsid w:val="002E3C3A"/>
    <w:rsid w:val="002E5A05"/>
    <w:rsid w:val="002F1712"/>
    <w:rsid w:val="002F178D"/>
    <w:rsid w:val="002F20D5"/>
    <w:rsid w:val="002F2906"/>
    <w:rsid w:val="002F36D7"/>
    <w:rsid w:val="002F79D0"/>
    <w:rsid w:val="00302655"/>
    <w:rsid w:val="003035A7"/>
    <w:rsid w:val="00305E60"/>
    <w:rsid w:val="0031088C"/>
    <w:rsid w:val="003119A9"/>
    <w:rsid w:val="003119DC"/>
    <w:rsid w:val="003173A7"/>
    <w:rsid w:val="00317D95"/>
    <w:rsid w:val="00322E6B"/>
    <w:rsid w:val="00323DFC"/>
    <w:rsid w:val="003250EA"/>
    <w:rsid w:val="00327495"/>
    <w:rsid w:val="003328E4"/>
    <w:rsid w:val="00332C40"/>
    <w:rsid w:val="003354A7"/>
    <w:rsid w:val="00336E03"/>
    <w:rsid w:val="00337734"/>
    <w:rsid w:val="003422ED"/>
    <w:rsid w:val="00342E75"/>
    <w:rsid w:val="003437A8"/>
    <w:rsid w:val="00347FD0"/>
    <w:rsid w:val="00351845"/>
    <w:rsid w:val="00351DAD"/>
    <w:rsid w:val="00353D4F"/>
    <w:rsid w:val="003544F2"/>
    <w:rsid w:val="00355949"/>
    <w:rsid w:val="00355953"/>
    <w:rsid w:val="00356FB9"/>
    <w:rsid w:val="0036405F"/>
    <w:rsid w:val="00364C3C"/>
    <w:rsid w:val="003750CC"/>
    <w:rsid w:val="003803EA"/>
    <w:rsid w:val="00381692"/>
    <w:rsid w:val="00382BE9"/>
    <w:rsid w:val="003874D6"/>
    <w:rsid w:val="00391245"/>
    <w:rsid w:val="00392245"/>
    <w:rsid w:val="0039509A"/>
    <w:rsid w:val="00395B7F"/>
    <w:rsid w:val="00395DD3"/>
    <w:rsid w:val="00397F68"/>
    <w:rsid w:val="003A11F0"/>
    <w:rsid w:val="003A2D09"/>
    <w:rsid w:val="003B294A"/>
    <w:rsid w:val="003B4F4C"/>
    <w:rsid w:val="003B5F7B"/>
    <w:rsid w:val="003C19D9"/>
    <w:rsid w:val="003C60A6"/>
    <w:rsid w:val="003C71E3"/>
    <w:rsid w:val="003C761D"/>
    <w:rsid w:val="003D0285"/>
    <w:rsid w:val="003D061C"/>
    <w:rsid w:val="003D0EB3"/>
    <w:rsid w:val="003D1754"/>
    <w:rsid w:val="003D29AC"/>
    <w:rsid w:val="003D6200"/>
    <w:rsid w:val="003D69D7"/>
    <w:rsid w:val="003D6FA6"/>
    <w:rsid w:val="003E6BEE"/>
    <w:rsid w:val="003E7173"/>
    <w:rsid w:val="003F283A"/>
    <w:rsid w:val="003F3086"/>
    <w:rsid w:val="003F552E"/>
    <w:rsid w:val="003F5CC6"/>
    <w:rsid w:val="003F66B8"/>
    <w:rsid w:val="00403087"/>
    <w:rsid w:val="00404089"/>
    <w:rsid w:val="004065D9"/>
    <w:rsid w:val="00407B78"/>
    <w:rsid w:val="00411CBC"/>
    <w:rsid w:val="0041448B"/>
    <w:rsid w:val="00415498"/>
    <w:rsid w:val="00416067"/>
    <w:rsid w:val="004168CF"/>
    <w:rsid w:val="00416ACD"/>
    <w:rsid w:val="00422836"/>
    <w:rsid w:val="00423FB2"/>
    <w:rsid w:val="004245BC"/>
    <w:rsid w:val="00425122"/>
    <w:rsid w:val="00425893"/>
    <w:rsid w:val="00425E6A"/>
    <w:rsid w:val="00426E51"/>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D7B"/>
    <w:rsid w:val="00491109"/>
    <w:rsid w:val="004924B8"/>
    <w:rsid w:val="00495C6A"/>
    <w:rsid w:val="004A15A5"/>
    <w:rsid w:val="004A1714"/>
    <w:rsid w:val="004B2476"/>
    <w:rsid w:val="004C0294"/>
    <w:rsid w:val="004C2090"/>
    <w:rsid w:val="004C2B40"/>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4D53"/>
    <w:rsid w:val="00534FBC"/>
    <w:rsid w:val="00536609"/>
    <w:rsid w:val="005407C2"/>
    <w:rsid w:val="00541009"/>
    <w:rsid w:val="00542246"/>
    <w:rsid w:val="0054255C"/>
    <w:rsid w:val="00543B90"/>
    <w:rsid w:val="00544462"/>
    <w:rsid w:val="0054563E"/>
    <w:rsid w:val="00546528"/>
    <w:rsid w:val="00546BC8"/>
    <w:rsid w:val="0054720D"/>
    <w:rsid w:val="00551F81"/>
    <w:rsid w:val="005533B2"/>
    <w:rsid w:val="00554324"/>
    <w:rsid w:val="00554379"/>
    <w:rsid w:val="00555661"/>
    <w:rsid w:val="0055591D"/>
    <w:rsid w:val="0056392B"/>
    <w:rsid w:val="005723F9"/>
    <w:rsid w:val="00577D84"/>
    <w:rsid w:val="00580C27"/>
    <w:rsid w:val="00581C92"/>
    <w:rsid w:val="00583155"/>
    <w:rsid w:val="005904FD"/>
    <w:rsid w:val="00591ECB"/>
    <w:rsid w:val="00594272"/>
    <w:rsid w:val="00596D0A"/>
    <w:rsid w:val="005A1F9B"/>
    <w:rsid w:val="005A21C0"/>
    <w:rsid w:val="005A31DA"/>
    <w:rsid w:val="005A6787"/>
    <w:rsid w:val="005B10BB"/>
    <w:rsid w:val="005B3BD5"/>
    <w:rsid w:val="005C2437"/>
    <w:rsid w:val="005C43AC"/>
    <w:rsid w:val="005C50A7"/>
    <w:rsid w:val="005C7B89"/>
    <w:rsid w:val="005D3CB0"/>
    <w:rsid w:val="005D4631"/>
    <w:rsid w:val="005D5C56"/>
    <w:rsid w:val="005E05F6"/>
    <w:rsid w:val="005E0F58"/>
    <w:rsid w:val="005E2D5D"/>
    <w:rsid w:val="005E2D70"/>
    <w:rsid w:val="005E4832"/>
    <w:rsid w:val="005E5B51"/>
    <w:rsid w:val="005E6A45"/>
    <w:rsid w:val="005F122E"/>
    <w:rsid w:val="005F234C"/>
    <w:rsid w:val="005F33F2"/>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439E3"/>
    <w:rsid w:val="0064455B"/>
    <w:rsid w:val="00644A82"/>
    <w:rsid w:val="00644F5A"/>
    <w:rsid w:val="0064560E"/>
    <w:rsid w:val="00646842"/>
    <w:rsid w:val="0065116C"/>
    <w:rsid w:val="00656F78"/>
    <w:rsid w:val="00661987"/>
    <w:rsid w:val="006619C5"/>
    <w:rsid w:val="006633DF"/>
    <w:rsid w:val="00667605"/>
    <w:rsid w:val="00667BF1"/>
    <w:rsid w:val="0067397F"/>
    <w:rsid w:val="00676287"/>
    <w:rsid w:val="00676BDE"/>
    <w:rsid w:val="00682963"/>
    <w:rsid w:val="00682FCF"/>
    <w:rsid w:val="00684475"/>
    <w:rsid w:val="00685FB3"/>
    <w:rsid w:val="00686E74"/>
    <w:rsid w:val="006903FB"/>
    <w:rsid w:val="006924E4"/>
    <w:rsid w:val="00692AE7"/>
    <w:rsid w:val="006937A9"/>
    <w:rsid w:val="00697CAC"/>
    <w:rsid w:val="006A07BB"/>
    <w:rsid w:val="006B0FE9"/>
    <w:rsid w:val="006B1389"/>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1AAB"/>
    <w:rsid w:val="00712581"/>
    <w:rsid w:val="00715625"/>
    <w:rsid w:val="00717F11"/>
    <w:rsid w:val="00724D00"/>
    <w:rsid w:val="00724D8E"/>
    <w:rsid w:val="00727754"/>
    <w:rsid w:val="00727F20"/>
    <w:rsid w:val="00727F73"/>
    <w:rsid w:val="00735F86"/>
    <w:rsid w:val="007362AE"/>
    <w:rsid w:val="00737896"/>
    <w:rsid w:val="00742664"/>
    <w:rsid w:val="00742BDB"/>
    <w:rsid w:val="007431B7"/>
    <w:rsid w:val="007467BA"/>
    <w:rsid w:val="007501FA"/>
    <w:rsid w:val="00750EB2"/>
    <w:rsid w:val="00753A7B"/>
    <w:rsid w:val="00757AF5"/>
    <w:rsid w:val="007623FA"/>
    <w:rsid w:val="00763A73"/>
    <w:rsid w:val="00764DFE"/>
    <w:rsid w:val="00774FF3"/>
    <w:rsid w:val="00776B71"/>
    <w:rsid w:val="0078240A"/>
    <w:rsid w:val="00782DDE"/>
    <w:rsid w:val="007845B1"/>
    <w:rsid w:val="00784F96"/>
    <w:rsid w:val="00786611"/>
    <w:rsid w:val="00787367"/>
    <w:rsid w:val="00787497"/>
    <w:rsid w:val="007A2F85"/>
    <w:rsid w:val="007A380D"/>
    <w:rsid w:val="007A4D12"/>
    <w:rsid w:val="007A790B"/>
    <w:rsid w:val="007B19D3"/>
    <w:rsid w:val="007C20FB"/>
    <w:rsid w:val="007C2D39"/>
    <w:rsid w:val="007C3752"/>
    <w:rsid w:val="007C4BCF"/>
    <w:rsid w:val="007C4DCC"/>
    <w:rsid w:val="007C7DE4"/>
    <w:rsid w:val="007D0972"/>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15F70"/>
    <w:rsid w:val="00822920"/>
    <w:rsid w:val="0082553C"/>
    <w:rsid w:val="00834A07"/>
    <w:rsid w:val="00836D6C"/>
    <w:rsid w:val="00837865"/>
    <w:rsid w:val="008416A4"/>
    <w:rsid w:val="0084544E"/>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6962"/>
    <w:rsid w:val="008B6BEC"/>
    <w:rsid w:val="008B770E"/>
    <w:rsid w:val="008C2AA8"/>
    <w:rsid w:val="008C725F"/>
    <w:rsid w:val="008D3B06"/>
    <w:rsid w:val="008D3CAB"/>
    <w:rsid w:val="008D6F17"/>
    <w:rsid w:val="008E1306"/>
    <w:rsid w:val="008E3782"/>
    <w:rsid w:val="008E5186"/>
    <w:rsid w:val="008E5E25"/>
    <w:rsid w:val="008F30F9"/>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1AB6"/>
    <w:rsid w:val="00931F27"/>
    <w:rsid w:val="00933084"/>
    <w:rsid w:val="00936153"/>
    <w:rsid w:val="00936564"/>
    <w:rsid w:val="0094022F"/>
    <w:rsid w:val="00940E57"/>
    <w:rsid w:val="00950E7E"/>
    <w:rsid w:val="0095408C"/>
    <w:rsid w:val="00954AAF"/>
    <w:rsid w:val="00957778"/>
    <w:rsid w:val="00962EAA"/>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B0D42"/>
    <w:rsid w:val="009B3EF7"/>
    <w:rsid w:val="009B508A"/>
    <w:rsid w:val="009B7680"/>
    <w:rsid w:val="009C11D1"/>
    <w:rsid w:val="009C7A6F"/>
    <w:rsid w:val="009D1DB2"/>
    <w:rsid w:val="009D1EFA"/>
    <w:rsid w:val="009D2108"/>
    <w:rsid w:val="009D557E"/>
    <w:rsid w:val="009D7934"/>
    <w:rsid w:val="009D79E5"/>
    <w:rsid w:val="009D7BCC"/>
    <w:rsid w:val="009E5256"/>
    <w:rsid w:val="009F263D"/>
    <w:rsid w:val="009F327A"/>
    <w:rsid w:val="009F4E73"/>
    <w:rsid w:val="009F6973"/>
    <w:rsid w:val="009F7715"/>
    <w:rsid w:val="00A00DDB"/>
    <w:rsid w:val="00A0177F"/>
    <w:rsid w:val="00A04906"/>
    <w:rsid w:val="00A05E98"/>
    <w:rsid w:val="00A0612A"/>
    <w:rsid w:val="00A06FEF"/>
    <w:rsid w:val="00A10E63"/>
    <w:rsid w:val="00A115B8"/>
    <w:rsid w:val="00A11C0E"/>
    <w:rsid w:val="00A12D81"/>
    <w:rsid w:val="00A1319F"/>
    <w:rsid w:val="00A1460D"/>
    <w:rsid w:val="00A16011"/>
    <w:rsid w:val="00A16369"/>
    <w:rsid w:val="00A1637A"/>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A1C32"/>
    <w:rsid w:val="00AA3D8B"/>
    <w:rsid w:val="00AA64C8"/>
    <w:rsid w:val="00AA6C06"/>
    <w:rsid w:val="00AB058B"/>
    <w:rsid w:val="00AB156C"/>
    <w:rsid w:val="00AB32F0"/>
    <w:rsid w:val="00AB3F75"/>
    <w:rsid w:val="00AB765D"/>
    <w:rsid w:val="00AC243D"/>
    <w:rsid w:val="00AC26F4"/>
    <w:rsid w:val="00AC6498"/>
    <w:rsid w:val="00AC6CF5"/>
    <w:rsid w:val="00AD0132"/>
    <w:rsid w:val="00AD06FD"/>
    <w:rsid w:val="00AD1DA1"/>
    <w:rsid w:val="00AD236B"/>
    <w:rsid w:val="00AD30CA"/>
    <w:rsid w:val="00AD3346"/>
    <w:rsid w:val="00AD39A8"/>
    <w:rsid w:val="00AD6050"/>
    <w:rsid w:val="00AD64EF"/>
    <w:rsid w:val="00AD71C4"/>
    <w:rsid w:val="00AD7429"/>
    <w:rsid w:val="00AE0B30"/>
    <w:rsid w:val="00AE2569"/>
    <w:rsid w:val="00AE2FFD"/>
    <w:rsid w:val="00AE6802"/>
    <w:rsid w:val="00AF0C1C"/>
    <w:rsid w:val="00AF0FFC"/>
    <w:rsid w:val="00AF4F32"/>
    <w:rsid w:val="00AF5CE7"/>
    <w:rsid w:val="00AF5EB1"/>
    <w:rsid w:val="00B00B88"/>
    <w:rsid w:val="00B0505C"/>
    <w:rsid w:val="00B05B62"/>
    <w:rsid w:val="00B05C87"/>
    <w:rsid w:val="00B07BDC"/>
    <w:rsid w:val="00B11293"/>
    <w:rsid w:val="00B13406"/>
    <w:rsid w:val="00B13D8C"/>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56C"/>
    <w:rsid w:val="00B7068C"/>
    <w:rsid w:val="00B72E6F"/>
    <w:rsid w:val="00B74781"/>
    <w:rsid w:val="00B8241D"/>
    <w:rsid w:val="00B8769A"/>
    <w:rsid w:val="00B878DC"/>
    <w:rsid w:val="00B91CE1"/>
    <w:rsid w:val="00B92318"/>
    <w:rsid w:val="00B96102"/>
    <w:rsid w:val="00B9692B"/>
    <w:rsid w:val="00B96C91"/>
    <w:rsid w:val="00BA65FF"/>
    <w:rsid w:val="00BB2547"/>
    <w:rsid w:val="00BC087B"/>
    <w:rsid w:val="00BC0970"/>
    <w:rsid w:val="00BC46EF"/>
    <w:rsid w:val="00BC4729"/>
    <w:rsid w:val="00BC58A4"/>
    <w:rsid w:val="00BC6CCB"/>
    <w:rsid w:val="00BD1ED1"/>
    <w:rsid w:val="00BD5719"/>
    <w:rsid w:val="00BD5CF3"/>
    <w:rsid w:val="00BE19B5"/>
    <w:rsid w:val="00BE2C15"/>
    <w:rsid w:val="00BE351F"/>
    <w:rsid w:val="00BE4712"/>
    <w:rsid w:val="00BE4929"/>
    <w:rsid w:val="00BF00FA"/>
    <w:rsid w:val="00BF10FE"/>
    <w:rsid w:val="00BF4A0D"/>
    <w:rsid w:val="00C02801"/>
    <w:rsid w:val="00C040A3"/>
    <w:rsid w:val="00C0605F"/>
    <w:rsid w:val="00C103B2"/>
    <w:rsid w:val="00C11B41"/>
    <w:rsid w:val="00C1429E"/>
    <w:rsid w:val="00C14524"/>
    <w:rsid w:val="00C177D5"/>
    <w:rsid w:val="00C225F9"/>
    <w:rsid w:val="00C22887"/>
    <w:rsid w:val="00C24E01"/>
    <w:rsid w:val="00C2710F"/>
    <w:rsid w:val="00C2792C"/>
    <w:rsid w:val="00C31166"/>
    <w:rsid w:val="00C350E8"/>
    <w:rsid w:val="00C35B7A"/>
    <w:rsid w:val="00C37498"/>
    <w:rsid w:val="00C377A3"/>
    <w:rsid w:val="00C41C22"/>
    <w:rsid w:val="00C46319"/>
    <w:rsid w:val="00C5030F"/>
    <w:rsid w:val="00C503CF"/>
    <w:rsid w:val="00C50C52"/>
    <w:rsid w:val="00C60EDF"/>
    <w:rsid w:val="00C619E7"/>
    <w:rsid w:val="00C61BD8"/>
    <w:rsid w:val="00C62CD0"/>
    <w:rsid w:val="00C638F7"/>
    <w:rsid w:val="00C64B80"/>
    <w:rsid w:val="00C65FBF"/>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6396"/>
    <w:rsid w:val="00CC02A1"/>
    <w:rsid w:val="00CC15FC"/>
    <w:rsid w:val="00CC215B"/>
    <w:rsid w:val="00CC3336"/>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F272E"/>
    <w:rsid w:val="00CF3F45"/>
    <w:rsid w:val="00CF4781"/>
    <w:rsid w:val="00CF5627"/>
    <w:rsid w:val="00D00B73"/>
    <w:rsid w:val="00D041E9"/>
    <w:rsid w:val="00D0527C"/>
    <w:rsid w:val="00D10085"/>
    <w:rsid w:val="00D1092E"/>
    <w:rsid w:val="00D1418A"/>
    <w:rsid w:val="00D16AB3"/>
    <w:rsid w:val="00D172A4"/>
    <w:rsid w:val="00D17D42"/>
    <w:rsid w:val="00D2606E"/>
    <w:rsid w:val="00D27E3D"/>
    <w:rsid w:val="00D31272"/>
    <w:rsid w:val="00D31FD8"/>
    <w:rsid w:val="00D34150"/>
    <w:rsid w:val="00D36B14"/>
    <w:rsid w:val="00D37D9A"/>
    <w:rsid w:val="00D42F8E"/>
    <w:rsid w:val="00D43D47"/>
    <w:rsid w:val="00D47A22"/>
    <w:rsid w:val="00D47E00"/>
    <w:rsid w:val="00D505D6"/>
    <w:rsid w:val="00D51596"/>
    <w:rsid w:val="00D518A6"/>
    <w:rsid w:val="00D54B64"/>
    <w:rsid w:val="00D56E18"/>
    <w:rsid w:val="00D57507"/>
    <w:rsid w:val="00D61273"/>
    <w:rsid w:val="00D63111"/>
    <w:rsid w:val="00D677FF"/>
    <w:rsid w:val="00D7189C"/>
    <w:rsid w:val="00D761CA"/>
    <w:rsid w:val="00D771CC"/>
    <w:rsid w:val="00D845DF"/>
    <w:rsid w:val="00D872FD"/>
    <w:rsid w:val="00D877A3"/>
    <w:rsid w:val="00D90DDC"/>
    <w:rsid w:val="00D966FD"/>
    <w:rsid w:val="00D968D3"/>
    <w:rsid w:val="00D9705E"/>
    <w:rsid w:val="00DA20CB"/>
    <w:rsid w:val="00DA5605"/>
    <w:rsid w:val="00DA6BCE"/>
    <w:rsid w:val="00DA7148"/>
    <w:rsid w:val="00DA7710"/>
    <w:rsid w:val="00DB112C"/>
    <w:rsid w:val="00DB27AB"/>
    <w:rsid w:val="00DB46A5"/>
    <w:rsid w:val="00DB4D07"/>
    <w:rsid w:val="00DB5160"/>
    <w:rsid w:val="00DB7B8B"/>
    <w:rsid w:val="00DC0EB6"/>
    <w:rsid w:val="00DC199A"/>
    <w:rsid w:val="00DC66FC"/>
    <w:rsid w:val="00DD18E7"/>
    <w:rsid w:val="00DD1CDD"/>
    <w:rsid w:val="00DD36E5"/>
    <w:rsid w:val="00DD6324"/>
    <w:rsid w:val="00DD7BA5"/>
    <w:rsid w:val="00DE1EFA"/>
    <w:rsid w:val="00DE7A17"/>
    <w:rsid w:val="00DF228A"/>
    <w:rsid w:val="00DF3386"/>
    <w:rsid w:val="00DF599F"/>
    <w:rsid w:val="00DF6EAA"/>
    <w:rsid w:val="00DF78B2"/>
    <w:rsid w:val="00E02130"/>
    <w:rsid w:val="00E04D1C"/>
    <w:rsid w:val="00E0642A"/>
    <w:rsid w:val="00E15138"/>
    <w:rsid w:val="00E16F1D"/>
    <w:rsid w:val="00E17EB8"/>
    <w:rsid w:val="00E2250E"/>
    <w:rsid w:val="00E2386A"/>
    <w:rsid w:val="00E30FB2"/>
    <w:rsid w:val="00E31347"/>
    <w:rsid w:val="00E34F08"/>
    <w:rsid w:val="00E356EF"/>
    <w:rsid w:val="00E35B41"/>
    <w:rsid w:val="00E370F8"/>
    <w:rsid w:val="00E41B00"/>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CFE"/>
    <w:rsid w:val="00E9235F"/>
    <w:rsid w:val="00E97FAC"/>
    <w:rsid w:val="00EA0A91"/>
    <w:rsid w:val="00EA0B25"/>
    <w:rsid w:val="00EB3482"/>
    <w:rsid w:val="00EB381D"/>
    <w:rsid w:val="00EB420F"/>
    <w:rsid w:val="00EB4498"/>
    <w:rsid w:val="00EB5F4B"/>
    <w:rsid w:val="00EC1FC8"/>
    <w:rsid w:val="00ED11B3"/>
    <w:rsid w:val="00ED1F44"/>
    <w:rsid w:val="00ED3D2F"/>
    <w:rsid w:val="00ED4276"/>
    <w:rsid w:val="00ED44B6"/>
    <w:rsid w:val="00ED58F7"/>
    <w:rsid w:val="00EE071F"/>
    <w:rsid w:val="00EE3C3C"/>
    <w:rsid w:val="00EE56D4"/>
    <w:rsid w:val="00EE76B3"/>
    <w:rsid w:val="00EE7768"/>
    <w:rsid w:val="00EF2255"/>
    <w:rsid w:val="00EF3DC0"/>
    <w:rsid w:val="00F011E4"/>
    <w:rsid w:val="00F01838"/>
    <w:rsid w:val="00F0299B"/>
    <w:rsid w:val="00F07055"/>
    <w:rsid w:val="00F10B78"/>
    <w:rsid w:val="00F10DC1"/>
    <w:rsid w:val="00F123BA"/>
    <w:rsid w:val="00F15DDD"/>
    <w:rsid w:val="00F21BDF"/>
    <w:rsid w:val="00F26A34"/>
    <w:rsid w:val="00F32177"/>
    <w:rsid w:val="00F34EC0"/>
    <w:rsid w:val="00F34FEF"/>
    <w:rsid w:val="00F35B5F"/>
    <w:rsid w:val="00F35DF9"/>
    <w:rsid w:val="00F403C7"/>
    <w:rsid w:val="00F42813"/>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3DDF"/>
    <w:rsid w:val="00FA40C4"/>
    <w:rsid w:val="00FA634D"/>
    <w:rsid w:val="00FA6A31"/>
    <w:rsid w:val="00FB3F5D"/>
    <w:rsid w:val="00FB4370"/>
    <w:rsid w:val="00FB60C4"/>
    <w:rsid w:val="00FB64C2"/>
    <w:rsid w:val="00FB6C8A"/>
    <w:rsid w:val="00FC45A2"/>
    <w:rsid w:val="00FC5726"/>
    <w:rsid w:val="00FC5F87"/>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3E3F"/>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Paragr2"/>
    <w:link w:val="Heading1Char"/>
    <w:qFormat/>
    <w:rsid w:val="00711AAB"/>
    <w:pPr>
      <w:keepNext/>
      <w:keepLines/>
      <w:tabs>
        <w:tab w:val="left" w:pos="1440"/>
      </w:tabs>
      <w:spacing w:after="240"/>
      <w:outlineLvl w:val="0"/>
    </w:pPr>
    <w:rPr>
      <w:rFonts w:ascii="Times New Roman" w:eastAsia="Times New Roman" w:hAnsi="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AAB"/>
    <w:rPr>
      <w:rFonts w:ascii="Times New Roman" w:eastAsia="Times New Roman" w:hAnsi="Times New Roman"/>
      <w:b/>
      <w:bCs/>
      <w:color w:val="000000"/>
      <w:sz w:val="22"/>
      <w:szCs w:val="28"/>
    </w:rPr>
  </w:style>
  <w:style w:type="paragraph" w:customStyle="1" w:styleId="Section">
    <w:name w:val="Section"/>
    <w:basedOn w:val="Heading1"/>
    <w:next w:val="Paragr2"/>
    <w:rsid w:val="00711AAB"/>
    <w:pPr>
      <w:numPr>
        <w:numId w:val="1"/>
      </w:numPr>
      <w:tabs>
        <w:tab w:val="clear" w:pos="1440"/>
        <w:tab w:val="num" w:pos="360"/>
      </w:tabs>
      <w:spacing w:before="240"/>
      <w:ind w:left="0" w:firstLine="0"/>
    </w:pPr>
  </w:style>
  <w:style w:type="paragraph" w:customStyle="1" w:styleId="Paragr2">
    <w:name w:val="Paragr 2"/>
    <w:basedOn w:val="Normal"/>
    <w:rsid w:val="00711AAB"/>
    <w:pPr>
      <w:numPr>
        <w:ilvl w:val="1"/>
        <w:numId w:val="1"/>
      </w:numPr>
      <w:tabs>
        <w:tab w:val="left" w:pos="576"/>
      </w:tabs>
      <w:spacing w:after="120"/>
    </w:pPr>
    <w:rPr>
      <w:rFonts w:ascii="Times New Roman" w:hAnsi="Times New Roman"/>
    </w:rPr>
  </w:style>
  <w:style w:type="paragraph" w:customStyle="1" w:styleId="Paragr3">
    <w:name w:val="Paragr 3"/>
    <w:basedOn w:val="Normal"/>
    <w:rsid w:val="00711AAB"/>
    <w:pPr>
      <w:numPr>
        <w:ilvl w:val="2"/>
        <w:numId w:val="1"/>
      </w:numPr>
      <w:tabs>
        <w:tab w:val="left" w:pos="720"/>
        <w:tab w:val="left" w:pos="1440"/>
        <w:tab w:val="left" w:pos="2160"/>
        <w:tab w:val="left" w:pos="2880"/>
        <w:tab w:val="left" w:pos="3600"/>
      </w:tabs>
      <w:spacing w:after="120"/>
    </w:pPr>
    <w:rPr>
      <w:rFonts w:ascii="Times New Roman" w:hAnsi="Times New Roman"/>
    </w:rPr>
  </w:style>
  <w:style w:type="paragraph" w:customStyle="1" w:styleId="Paragr4">
    <w:name w:val="Paragr 4"/>
    <w:basedOn w:val="Normal"/>
    <w:rsid w:val="00711AAB"/>
    <w:pPr>
      <w:numPr>
        <w:ilvl w:val="3"/>
        <w:numId w:val="1"/>
      </w:numPr>
      <w:tabs>
        <w:tab w:val="left" w:pos="1296"/>
      </w:tabs>
      <w:spacing w:after="120"/>
    </w:pPr>
    <w:rPr>
      <w:rFonts w:ascii="Times New Roman" w:hAnsi="Times New Roman"/>
    </w:rPr>
  </w:style>
  <w:style w:type="paragraph" w:customStyle="1" w:styleId="Paragr5">
    <w:name w:val="Paragr 5"/>
    <w:basedOn w:val="Normal"/>
    <w:qFormat/>
    <w:rsid w:val="00711AAB"/>
    <w:pPr>
      <w:numPr>
        <w:ilvl w:val="4"/>
        <w:numId w:val="1"/>
      </w:numPr>
      <w:spacing w:after="120"/>
    </w:pPr>
    <w:rPr>
      <w:rFonts w:ascii="Times New Roman" w:hAnsi="Times New Roman"/>
    </w:rPr>
  </w:style>
  <w:style w:type="paragraph" w:customStyle="1" w:styleId="Paragr6">
    <w:name w:val="Paragr 6"/>
    <w:basedOn w:val="Normal"/>
    <w:qFormat/>
    <w:rsid w:val="00711AAB"/>
    <w:pPr>
      <w:numPr>
        <w:ilvl w:val="5"/>
        <w:numId w:val="1"/>
      </w:numPr>
      <w:spacing w:after="120"/>
      <w:ind w:left="3600" w:hanging="576"/>
    </w:pPr>
    <w:rPr>
      <w:rFonts w:ascii="Times New Roman" w:hAnsi="Times New Roman"/>
    </w:rPr>
  </w:style>
  <w:style w:type="paragraph" w:styleId="Header">
    <w:name w:val="header"/>
    <w:basedOn w:val="Normal"/>
    <w:link w:val="HeaderChar"/>
    <w:uiPriority w:val="99"/>
    <w:unhideWhenUsed/>
    <w:rsid w:val="006B1389"/>
    <w:pPr>
      <w:tabs>
        <w:tab w:val="center" w:pos="4680"/>
        <w:tab w:val="right" w:pos="9360"/>
      </w:tabs>
    </w:pPr>
  </w:style>
  <w:style w:type="character" w:customStyle="1" w:styleId="HeaderChar">
    <w:name w:val="Header Char"/>
    <w:link w:val="Header"/>
    <w:uiPriority w:val="99"/>
    <w:rsid w:val="006B1389"/>
    <w:rPr>
      <w:sz w:val="22"/>
      <w:szCs w:val="22"/>
    </w:rPr>
  </w:style>
  <w:style w:type="paragraph" w:styleId="Footer">
    <w:name w:val="footer"/>
    <w:basedOn w:val="Normal"/>
    <w:link w:val="FooterChar"/>
    <w:uiPriority w:val="99"/>
    <w:unhideWhenUsed/>
    <w:rsid w:val="006B1389"/>
    <w:pPr>
      <w:tabs>
        <w:tab w:val="center" w:pos="4680"/>
        <w:tab w:val="right" w:pos="9360"/>
      </w:tabs>
    </w:pPr>
  </w:style>
  <w:style w:type="character" w:customStyle="1" w:styleId="FooterChar">
    <w:name w:val="Footer Char"/>
    <w:link w:val="Footer"/>
    <w:uiPriority w:val="99"/>
    <w:rsid w:val="006B138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Paragr2"/>
    <w:link w:val="Heading1Char"/>
    <w:qFormat/>
    <w:rsid w:val="00711AAB"/>
    <w:pPr>
      <w:keepNext/>
      <w:keepLines/>
      <w:tabs>
        <w:tab w:val="left" w:pos="1440"/>
      </w:tabs>
      <w:spacing w:after="240"/>
      <w:outlineLvl w:val="0"/>
    </w:pPr>
    <w:rPr>
      <w:rFonts w:ascii="Times New Roman" w:eastAsia="Times New Roman" w:hAnsi="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AAB"/>
    <w:rPr>
      <w:rFonts w:ascii="Times New Roman" w:eastAsia="Times New Roman" w:hAnsi="Times New Roman"/>
      <w:b/>
      <w:bCs/>
      <w:color w:val="000000"/>
      <w:sz w:val="22"/>
      <w:szCs w:val="28"/>
    </w:rPr>
  </w:style>
  <w:style w:type="paragraph" w:customStyle="1" w:styleId="Section">
    <w:name w:val="Section"/>
    <w:basedOn w:val="Heading1"/>
    <w:next w:val="Paragr2"/>
    <w:rsid w:val="00711AAB"/>
    <w:pPr>
      <w:numPr>
        <w:numId w:val="1"/>
      </w:numPr>
      <w:tabs>
        <w:tab w:val="clear" w:pos="1440"/>
        <w:tab w:val="num" w:pos="360"/>
      </w:tabs>
      <w:spacing w:before="240"/>
      <w:ind w:left="0" w:firstLine="0"/>
    </w:pPr>
  </w:style>
  <w:style w:type="paragraph" w:customStyle="1" w:styleId="Paragr2">
    <w:name w:val="Paragr 2"/>
    <w:basedOn w:val="Normal"/>
    <w:rsid w:val="00711AAB"/>
    <w:pPr>
      <w:numPr>
        <w:ilvl w:val="1"/>
        <w:numId w:val="1"/>
      </w:numPr>
      <w:tabs>
        <w:tab w:val="left" w:pos="576"/>
      </w:tabs>
      <w:spacing w:after="120"/>
    </w:pPr>
    <w:rPr>
      <w:rFonts w:ascii="Times New Roman" w:hAnsi="Times New Roman"/>
    </w:rPr>
  </w:style>
  <w:style w:type="paragraph" w:customStyle="1" w:styleId="Paragr3">
    <w:name w:val="Paragr 3"/>
    <w:basedOn w:val="Normal"/>
    <w:rsid w:val="00711AAB"/>
    <w:pPr>
      <w:numPr>
        <w:ilvl w:val="2"/>
        <w:numId w:val="1"/>
      </w:numPr>
      <w:tabs>
        <w:tab w:val="left" w:pos="720"/>
        <w:tab w:val="left" w:pos="1440"/>
        <w:tab w:val="left" w:pos="2160"/>
        <w:tab w:val="left" w:pos="2880"/>
        <w:tab w:val="left" w:pos="3600"/>
      </w:tabs>
      <w:spacing w:after="120"/>
    </w:pPr>
    <w:rPr>
      <w:rFonts w:ascii="Times New Roman" w:hAnsi="Times New Roman"/>
    </w:rPr>
  </w:style>
  <w:style w:type="paragraph" w:customStyle="1" w:styleId="Paragr4">
    <w:name w:val="Paragr 4"/>
    <w:basedOn w:val="Normal"/>
    <w:rsid w:val="00711AAB"/>
    <w:pPr>
      <w:numPr>
        <w:ilvl w:val="3"/>
        <w:numId w:val="1"/>
      </w:numPr>
      <w:tabs>
        <w:tab w:val="left" w:pos="1296"/>
      </w:tabs>
      <w:spacing w:after="120"/>
    </w:pPr>
    <w:rPr>
      <w:rFonts w:ascii="Times New Roman" w:hAnsi="Times New Roman"/>
    </w:rPr>
  </w:style>
  <w:style w:type="paragraph" w:customStyle="1" w:styleId="Paragr5">
    <w:name w:val="Paragr 5"/>
    <w:basedOn w:val="Normal"/>
    <w:qFormat/>
    <w:rsid w:val="00711AAB"/>
    <w:pPr>
      <w:numPr>
        <w:ilvl w:val="4"/>
        <w:numId w:val="1"/>
      </w:numPr>
      <w:spacing w:after="120"/>
    </w:pPr>
    <w:rPr>
      <w:rFonts w:ascii="Times New Roman" w:hAnsi="Times New Roman"/>
    </w:rPr>
  </w:style>
  <w:style w:type="paragraph" w:customStyle="1" w:styleId="Paragr6">
    <w:name w:val="Paragr 6"/>
    <w:basedOn w:val="Normal"/>
    <w:qFormat/>
    <w:rsid w:val="00711AAB"/>
    <w:pPr>
      <w:numPr>
        <w:ilvl w:val="5"/>
        <w:numId w:val="1"/>
      </w:numPr>
      <w:spacing w:after="120"/>
      <w:ind w:left="3600" w:hanging="576"/>
    </w:pPr>
    <w:rPr>
      <w:rFonts w:ascii="Times New Roman" w:hAnsi="Times New Roman"/>
    </w:rPr>
  </w:style>
  <w:style w:type="paragraph" w:styleId="Header">
    <w:name w:val="header"/>
    <w:basedOn w:val="Normal"/>
    <w:link w:val="HeaderChar"/>
    <w:uiPriority w:val="99"/>
    <w:unhideWhenUsed/>
    <w:rsid w:val="006B1389"/>
    <w:pPr>
      <w:tabs>
        <w:tab w:val="center" w:pos="4680"/>
        <w:tab w:val="right" w:pos="9360"/>
      </w:tabs>
    </w:pPr>
  </w:style>
  <w:style w:type="character" w:customStyle="1" w:styleId="HeaderChar">
    <w:name w:val="Header Char"/>
    <w:link w:val="Header"/>
    <w:uiPriority w:val="99"/>
    <w:rsid w:val="006B1389"/>
    <w:rPr>
      <w:sz w:val="22"/>
      <w:szCs w:val="22"/>
    </w:rPr>
  </w:style>
  <w:style w:type="paragraph" w:styleId="Footer">
    <w:name w:val="footer"/>
    <w:basedOn w:val="Normal"/>
    <w:link w:val="FooterChar"/>
    <w:uiPriority w:val="99"/>
    <w:unhideWhenUsed/>
    <w:rsid w:val="006B1389"/>
    <w:pPr>
      <w:tabs>
        <w:tab w:val="center" w:pos="4680"/>
        <w:tab w:val="right" w:pos="9360"/>
      </w:tabs>
    </w:pPr>
  </w:style>
  <w:style w:type="character" w:customStyle="1" w:styleId="FooterChar">
    <w:name w:val="Footer Char"/>
    <w:link w:val="Footer"/>
    <w:uiPriority w:val="99"/>
    <w:rsid w:val="006B13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Lajoie, Louisa</cp:lastModifiedBy>
  <cp:revision>2</cp:revision>
  <dcterms:created xsi:type="dcterms:W3CDTF">2014-09-24T11:50:00Z</dcterms:created>
  <dcterms:modified xsi:type="dcterms:W3CDTF">2014-09-24T11:50:00Z</dcterms:modified>
</cp:coreProperties>
</file>