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650C" w14:textId="77777777" w:rsidR="001C4EF8" w:rsidRPr="00325CD8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spacing w:line="240" w:lineRule="atLeast"/>
        <w:ind w:left="720" w:hanging="720"/>
        <w:jc w:val="both"/>
        <w:rPr>
          <w:b/>
          <w:sz w:val="22"/>
        </w:rPr>
      </w:pPr>
      <w:r w:rsidRPr="00325CD8">
        <w:rPr>
          <w:b/>
          <w:sz w:val="22"/>
        </w:rPr>
        <w:t>06</w:t>
      </w:r>
      <w:r w:rsidRPr="00325CD8">
        <w:rPr>
          <w:b/>
          <w:sz w:val="22"/>
        </w:rPr>
        <w:noBreakHyphen/>
        <w:t>096</w:t>
      </w:r>
      <w:r w:rsidR="00E870ED" w:rsidRPr="00325CD8">
        <w:rPr>
          <w:b/>
          <w:sz w:val="22"/>
        </w:rPr>
        <w:tab/>
      </w:r>
      <w:r w:rsidR="00E870ED" w:rsidRPr="00325CD8">
        <w:rPr>
          <w:b/>
          <w:sz w:val="22"/>
        </w:rPr>
        <w:tab/>
      </w:r>
      <w:r w:rsidR="00E870ED" w:rsidRPr="00325CD8">
        <w:rPr>
          <w:b/>
          <w:sz w:val="22"/>
        </w:rPr>
        <w:tab/>
      </w:r>
      <w:r w:rsidRPr="00325CD8">
        <w:rPr>
          <w:b/>
          <w:sz w:val="22"/>
        </w:rPr>
        <w:t>DEPARTMENT OF ENVIRONMENTAL PROTECTION</w:t>
      </w:r>
    </w:p>
    <w:p w14:paraId="18F1509B" w14:textId="77777777" w:rsidR="001C4EF8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7CAE1C94" w14:textId="77777777" w:rsidR="00E870ED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b/>
          <w:sz w:val="22"/>
        </w:rPr>
      </w:pPr>
      <w:r>
        <w:rPr>
          <w:b/>
          <w:sz w:val="22"/>
        </w:rPr>
        <w:t>Chapter 143</w:t>
      </w:r>
      <w:r w:rsidR="00E870ED">
        <w:rPr>
          <w:b/>
          <w:sz w:val="22"/>
        </w:rPr>
        <w:t>:</w:t>
      </w:r>
      <w:r w:rsidR="00E870ED">
        <w:rPr>
          <w:b/>
          <w:sz w:val="22"/>
        </w:rPr>
        <w:tab/>
      </w:r>
      <w:r>
        <w:rPr>
          <w:b/>
          <w:caps/>
          <w:sz w:val="22"/>
        </w:rPr>
        <w:t>New Source Performance Standards (NSPS)</w:t>
      </w:r>
    </w:p>
    <w:p w14:paraId="3E8B448A" w14:textId="77777777" w:rsidR="00E870ED" w:rsidRDefault="00E870ED" w:rsidP="00325CD8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7FD135D3" w14:textId="77777777" w:rsidR="00E870ED" w:rsidRDefault="00E870ED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180ADBBD" w14:textId="77777777" w:rsidR="00E870ED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rPr>
          <w:sz w:val="22"/>
        </w:rPr>
      </w:pPr>
      <w:r>
        <w:rPr>
          <w:b/>
          <w:sz w:val="22"/>
        </w:rPr>
        <w:t>SUMMARY:</w:t>
      </w:r>
      <w:r w:rsidR="00E870ED">
        <w:rPr>
          <w:b/>
          <w:sz w:val="22"/>
        </w:rPr>
        <w:t xml:space="preserve"> </w:t>
      </w:r>
      <w:r>
        <w:rPr>
          <w:sz w:val="22"/>
        </w:rPr>
        <w:t>This Chapter formally adopts the NSPS delegated to the State by the federal government.</w:t>
      </w:r>
      <w:r w:rsidR="00E870ED">
        <w:rPr>
          <w:sz w:val="22"/>
        </w:rPr>
        <w:t xml:space="preserve"> </w:t>
      </w:r>
      <w:r>
        <w:rPr>
          <w:sz w:val="22"/>
        </w:rPr>
        <w:t>It applies to any new sources from each of the source categories listed below.</w:t>
      </w:r>
    </w:p>
    <w:p w14:paraId="739C8D57" w14:textId="77777777" w:rsidR="001C4EF8" w:rsidRDefault="001C4EF8" w:rsidP="00325CD8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57E73ED6" w14:textId="77777777" w:rsidR="001C4EF8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5D6277E0" w14:textId="77777777" w:rsidR="00325CD8" w:rsidRDefault="00325CD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259DA7F0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540" w:hanging="540"/>
        <w:rPr>
          <w:sz w:val="22"/>
        </w:rPr>
      </w:pPr>
      <w:r>
        <w:rPr>
          <w:b/>
          <w:sz w:val="22"/>
        </w:rPr>
        <w:t>1</w:t>
      </w:r>
      <w:r w:rsidR="00E870ED">
        <w:rPr>
          <w:b/>
          <w:sz w:val="22"/>
        </w:rPr>
        <w:t>.</w:t>
      </w:r>
      <w:r w:rsidR="00E870ED">
        <w:rPr>
          <w:b/>
          <w:sz w:val="22"/>
        </w:rPr>
        <w:tab/>
      </w:r>
      <w:r>
        <w:rPr>
          <w:b/>
          <w:sz w:val="22"/>
        </w:rPr>
        <w:t>Scope and Applicability:</w:t>
      </w:r>
      <w:r w:rsidR="00E870ED">
        <w:rPr>
          <w:b/>
          <w:sz w:val="22"/>
        </w:rPr>
        <w:t xml:space="preserve"> </w:t>
      </w:r>
      <w:r>
        <w:rPr>
          <w:sz w:val="22"/>
        </w:rPr>
        <w:t xml:space="preserve">This Chapter </w:t>
      </w:r>
      <w:r w:rsidR="001662E8">
        <w:rPr>
          <w:sz w:val="22"/>
        </w:rPr>
        <w:t>is</w:t>
      </w:r>
      <w:r>
        <w:rPr>
          <w:sz w:val="22"/>
        </w:rPr>
        <w:t xml:space="preserve"> applicable statewide.</w:t>
      </w:r>
      <w:r w:rsidR="00E870ED">
        <w:rPr>
          <w:sz w:val="22"/>
        </w:rPr>
        <w:t xml:space="preserve"> </w:t>
      </w:r>
      <w:bookmarkStart w:id="0" w:name="_Hlk109140780"/>
      <w:r>
        <w:rPr>
          <w:sz w:val="22"/>
        </w:rPr>
        <w:t>All standards will be</w:t>
      </w:r>
      <w:r w:rsidR="00E870ED">
        <w:rPr>
          <w:sz w:val="22"/>
        </w:rPr>
        <w:t xml:space="preserve"> </w:t>
      </w:r>
      <w:r>
        <w:rPr>
          <w:sz w:val="22"/>
        </w:rPr>
        <w:t>implemented through the air emission licensing process</w:t>
      </w:r>
      <w:bookmarkEnd w:id="0"/>
      <w:r>
        <w:rPr>
          <w:sz w:val="22"/>
        </w:rPr>
        <w:t>.</w:t>
      </w:r>
    </w:p>
    <w:p w14:paraId="2C407AAE" w14:textId="77777777" w:rsidR="001C4EF8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b/>
          <w:sz w:val="22"/>
        </w:rPr>
      </w:pPr>
    </w:p>
    <w:p w14:paraId="40AF2C8B" w14:textId="77777777" w:rsidR="00E870ED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  <w:r>
        <w:rPr>
          <w:b/>
          <w:sz w:val="22"/>
        </w:rPr>
        <w:t>2</w:t>
      </w:r>
      <w:r w:rsidR="00E870ED">
        <w:rPr>
          <w:b/>
          <w:sz w:val="22"/>
        </w:rPr>
        <w:t>.</w:t>
      </w:r>
      <w:r w:rsidR="00E870ED">
        <w:rPr>
          <w:b/>
          <w:sz w:val="22"/>
        </w:rPr>
        <w:tab/>
      </w:r>
      <w:r>
        <w:rPr>
          <w:b/>
          <w:sz w:val="22"/>
        </w:rPr>
        <w:t>New Source Performance Standards</w:t>
      </w:r>
    </w:p>
    <w:p w14:paraId="1B4CA757" w14:textId="77777777" w:rsidR="001C4EF8" w:rsidRDefault="001C4EF8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66BC7C16" w14:textId="77777777" w:rsidR="001C4EF8" w:rsidRDefault="00F17488" w:rsidP="00F17488">
      <w:pPr>
        <w:pStyle w:val="BodyTextIndent"/>
        <w:tabs>
          <w:tab w:val="clear" w:pos="0"/>
          <w:tab w:val="clear" w:pos="720"/>
          <w:tab w:val="clear" w:pos="279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080" w:hanging="1080"/>
      </w:pPr>
      <w:r>
        <w:tab/>
      </w:r>
      <w:r w:rsidR="001C4EF8">
        <w:t>A</w:t>
      </w:r>
      <w:r w:rsidR="00E870ED">
        <w:t>.</w:t>
      </w:r>
      <w:r w:rsidR="00E870ED">
        <w:tab/>
      </w:r>
      <w:r w:rsidR="001C4EF8">
        <w:t xml:space="preserve">For purposes of this Chapter, the following portions of 40 CFR Part 60, as amended up to </w:t>
      </w:r>
      <w:r w:rsidR="0070288C" w:rsidRPr="00680273">
        <w:rPr>
          <w:color w:val="0D0D0D"/>
        </w:rPr>
        <w:t>July 1, 202</w:t>
      </w:r>
      <w:r w:rsidR="00B33A5D">
        <w:rPr>
          <w:color w:val="0D0D0D"/>
        </w:rPr>
        <w:t>2</w:t>
      </w:r>
      <w:r w:rsidR="001C4EF8" w:rsidRPr="00680273">
        <w:rPr>
          <w:color w:val="0D0D0D"/>
        </w:rPr>
        <w:t>,</w:t>
      </w:r>
      <w:r w:rsidR="001C4EF8">
        <w:t xml:space="preserve"> are incorporated by reference herein</w:t>
      </w:r>
      <w:r w:rsidR="00EA7A2B">
        <w:t>.</w:t>
      </w:r>
    </w:p>
    <w:p w14:paraId="67F13CC5" w14:textId="77777777" w:rsidR="004E3A24" w:rsidRDefault="004E3A24" w:rsidP="004E3A24">
      <w:pPr>
        <w:pStyle w:val="RulesSection"/>
        <w:jc w:val="left"/>
      </w:pPr>
      <w:r>
        <w:t>____________________________________________________________________________________</w:t>
      </w:r>
    </w:p>
    <w:p w14:paraId="2CB5372C" w14:textId="77777777" w:rsidR="004E3A24" w:rsidRDefault="004E3A24" w:rsidP="004E3A24">
      <w:pPr>
        <w:pStyle w:val="RulesSection"/>
        <w:jc w:val="left"/>
      </w:pPr>
    </w:p>
    <w:p w14:paraId="3F125226" w14:textId="77777777" w:rsidR="004E3A24" w:rsidRDefault="004E3A24" w:rsidP="004E3A24">
      <w:pPr>
        <w:pStyle w:val="RulesSection"/>
        <w:tabs>
          <w:tab w:val="left" w:pos="1080"/>
        </w:tabs>
        <w:ind w:left="1080" w:hanging="720"/>
        <w:jc w:val="left"/>
      </w:pPr>
      <w:r>
        <w:t>NOTE: Copies of the materials incorporated by reference are available from the Department by calling 207-</w:t>
      </w:r>
      <w:r w:rsidRPr="00EA536B">
        <w:t>287-</w:t>
      </w:r>
      <w:r>
        <w:t>2811.</w:t>
      </w:r>
    </w:p>
    <w:p w14:paraId="3CE65A5D" w14:textId="77777777" w:rsidR="004E3A24" w:rsidRDefault="004E3A24" w:rsidP="004E3A24">
      <w:pPr>
        <w:pStyle w:val="RulesSection"/>
        <w:jc w:val="left"/>
      </w:pPr>
      <w:r>
        <w:t>____________________________________________________________________________________</w:t>
      </w:r>
    </w:p>
    <w:p w14:paraId="6C258477" w14:textId="77777777" w:rsidR="00E870ED" w:rsidRDefault="00E870ED" w:rsidP="00E870E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720" w:hanging="720"/>
        <w:rPr>
          <w:sz w:val="22"/>
        </w:rPr>
      </w:pPr>
    </w:p>
    <w:p w14:paraId="7657AB89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</w:t>
      </w:r>
      <w:r w:rsidRPr="00FC2067">
        <w:rPr>
          <w:sz w:val="22"/>
        </w:rPr>
        <w:t>1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 w:rsidRPr="00FC2067">
        <w:rPr>
          <w:sz w:val="22"/>
        </w:rPr>
        <w:t>Subpart A</w:t>
      </w:r>
      <w:r w:rsidR="0033716D">
        <w:rPr>
          <w:sz w:val="22"/>
        </w:rPr>
        <w:t xml:space="preserve"> - </w:t>
      </w:r>
      <w:r>
        <w:rPr>
          <w:sz w:val="22"/>
        </w:rPr>
        <w:t>General Provisions.</w:t>
      </w:r>
    </w:p>
    <w:p w14:paraId="1C5C8C99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258A9DBA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(2</w:t>
      </w:r>
      <w:r w:rsidR="00E870ED">
        <w:rPr>
          <w:sz w:val="22"/>
        </w:rPr>
        <w:t>)</w:t>
      </w:r>
      <w:r w:rsidR="00E870ED">
        <w:rPr>
          <w:sz w:val="22"/>
        </w:rPr>
        <w:tab/>
      </w:r>
      <w:bookmarkStart w:id="1" w:name="_Hlk109140849"/>
      <w:r>
        <w:rPr>
          <w:sz w:val="22"/>
        </w:rPr>
        <w:t>Subpart C</w:t>
      </w:r>
      <w:r w:rsidR="0033716D">
        <w:rPr>
          <w:sz w:val="22"/>
        </w:rPr>
        <w:t xml:space="preserve"> -</w:t>
      </w:r>
      <w:r w:rsidR="00EA7A2B">
        <w:rPr>
          <w:sz w:val="22"/>
        </w:rPr>
        <w:t xml:space="preserve"> </w:t>
      </w:r>
      <w:r>
        <w:rPr>
          <w:sz w:val="22"/>
        </w:rPr>
        <w:t>Emission Guidelines and Compliance Times.</w:t>
      </w:r>
      <w:bookmarkEnd w:id="1"/>
    </w:p>
    <w:p w14:paraId="51D1C1BC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70228FA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(3</w:t>
      </w:r>
      <w:r w:rsidR="00E870ED">
        <w:rPr>
          <w:sz w:val="22"/>
        </w:rPr>
        <w:t>)</w:t>
      </w:r>
      <w:r w:rsidR="00E870ED">
        <w:rPr>
          <w:sz w:val="22"/>
        </w:rPr>
        <w:tab/>
      </w:r>
      <w:bookmarkStart w:id="2" w:name="_Hlk109140903"/>
      <w:r>
        <w:rPr>
          <w:sz w:val="22"/>
        </w:rPr>
        <w:t>Subpart Cd</w:t>
      </w:r>
      <w:r w:rsidR="0033716D">
        <w:rPr>
          <w:sz w:val="22"/>
        </w:rPr>
        <w:t xml:space="preserve"> -</w:t>
      </w:r>
      <w:r w:rsidR="00EA7A2B">
        <w:rPr>
          <w:sz w:val="22"/>
        </w:rPr>
        <w:t xml:space="preserve"> </w:t>
      </w:r>
      <w:r>
        <w:rPr>
          <w:sz w:val="22"/>
        </w:rPr>
        <w:t>Emissions Guidelines and Compliance Times for Sulfuric Acid Production Units.</w:t>
      </w:r>
      <w:bookmarkEnd w:id="2"/>
    </w:p>
    <w:p w14:paraId="28EAFD4D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A043DD3" w14:textId="77777777" w:rsidR="00883DDD" w:rsidRDefault="001C4EF8" w:rsidP="00883DD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  <w:u w:val="single"/>
        </w:rPr>
      </w:pPr>
      <w:r>
        <w:rPr>
          <w:sz w:val="22"/>
        </w:rPr>
        <w:t>(4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D</w:t>
      </w:r>
      <w:r w:rsidR="0033716D">
        <w:rPr>
          <w:sz w:val="22"/>
        </w:rPr>
        <w:t xml:space="preserve"> -</w:t>
      </w:r>
      <w:r w:rsidR="00EA7A2B">
        <w:rPr>
          <w:sz w:val="22"/>
        </w:rPr>
        <w:t xml:space="preserve"> </w:t>
      </w:r>
      <w:bookmarkStart w:id="3" w:name="_Hlk110865412"/>
      <w:r>
        <w:rPr>
          <w:sz w:val="22"/>
        </w:rPr>
        <w:t>Standards of Performance for Fossil-Fuel</w:t>
      </w:r>
      <w:r w:rsidR="00DB7FE6">
        <w:rPr>
          <w:sz w:val="22"/>
        </w:rPr>
        <w:t>-</w:t>
      </w:r>
      <w:r>
        <w:rPr>
          <w:sz w:val="22"/>
        </w:rPr>
        <w:t>Fired Steam Generators</w:t>
      </w:r>
      <w:r w:rsidR="00883DDD" w:rsidRPr="00883DDD">
        <w:rPr>
          <w:sz w:val="22"/>
        </w:rPr>
        <w:t>.</w:t>
      </w:r>
    </w:p>
    <w:p w14:paraId="6FC4B319" w14:textId="77777777" w:rsidR="00E870ED" w:rsidRDefault="00B86B47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 xml:space="preserve"> </w:t>
      </w:r>
      <w:bookmarkEnd w:id="3"/>
    </w:p>
    <w:p w14:paraId="6817B20D" w14:textId="77777777" w:rsidR="002E3C74" w:rsidRPr="002E3C74" w:rsidRDefault="001C4EF8" w:rsidP="002E3C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trike/>
          <w:sz w:val="22"/>
          <w:u w:val="single"/>
        </w:rPr>
      </w:pPr>
      <w:r>
        <w:rPr>
          <w:sz w:val="22"/>
        </w:rPr>
        <w:t>(5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 w:rsidRPr="00FC2067">
        <w:rPr>
          <w:sz w:val="22"/>
        </w:rPr>
        <w:t>Subpart Da</w:t>
      </w:r>
      <w:r w:rsidR="0033716D">
        <w:rPr>
          <w:sz w:val="22"/>
        </w:rPr>
        <w:t xml:space="preserve"> - </w:t>
      </w:r>
      <w:r>
        <w:rPr>
          <w:sz w:val="22"/>
        </w:rPr>
        <w:t xml:space="preserve">Standards of Performance for Electric Utility Steam Generating </w:t>
      </w:r>
      <w:r w:rsidRPr="009C5BBE">
        <w:rPr>
          <w:sz w:val="22"/>
        </w:rPr>
        <w:t>Units</w:t>
      </w:r>
      <w:r w:rsidR="002E3C74" w:rsidRPr="009C5BBE">
        <w:rPr>
          <w:sz w:val="22"/>
        </w:rPr>
        <w:t>.</w:t>
      </w:r>
    </w:p>
    <w:p w14:paraId="7016932F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2D195295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(6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 w:rsidRPr="00FC2067">
        <w:rPr>
          <w:sz w:val="22"/>
        </w:rPr>
        <w:t>Subpart Db</w:t>
      </w:r>
      <w:r w:rsidR="0033716D">
        <w:rPr>
          <w:sz w:val="22"/>
        </w:rPr>
        <w:t xml:space="preserve"> - </w:t>
      </w:r>
      <w:r>
        <w:rPr>
          <w:sz w:val="22"/>
        </w:rPr>
        <w:t>Standards of Performance for Industrial-Commercial-Institutional Steam Generating Units.</w:t>
      </w:r>
    </w:p>
    <w:p w14:paraId="3F81F62C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7CDB9DE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(7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Dc</w:t>
      </w:r>
      <w:r w:rsidR="0033716D">
        <w:rPr>
          <w:sz w:val="22"/>
        </w:rPr>
        <w:t xml:space="preserve"> - </w:t>
      </w:r>
      <w:r>
        <w:rPr>
          <w:sz w:val="22"/>
        </w:rPr>
        <w:t>Standards of Performance for Small Industrial-Commercial-Institutional Steam Generating Units.</w:t>
      </w:r>
    </w:p>
    <w:p w14:paraId="2A606938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FB14EA7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(8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E</w:t>
      </w:r>
      <w:r w:rsidR="0033716D">
        <w:rPr>
          <w:sz w:val="22"/>
        </w:rPr>
        <w:t xml:space="preserve"> - </w:t>
      </w:r>
      <w:r>
        <w:rPr>
          <w:sz w:val="22"/>
        </w:rPr>
        <w:t>Standards of Performance for Incinerators.</w:t>
      </w:r>
    </w:p>
    <w:p w14:paraId="6023372E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208C9BC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(9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 xml:space="preserve">Subpart </w:t>
      </w:r>
      <w:proofErr w:type="spellStart"/>
      <w:r>
        <w:rPr>
          <w:sz w:val="22"/>
        </w:rPr>
        <w:t>Ea</w:t>
      </w:r>
      <w:proofErr w:type="spellEnd"/>
      <w:r w:rsidR="0033716D">
        <w:rPr>
          <w:sz w:val="22"/>
        </w:rPr>
        <w:t xml:space="preserve"> - </w:t>
      </w:r>
      <w:r>
        <w:rPr>
          <w:sz w:val="22"/>
        </w:rPr>
        <w:t xml:space="preserve">Standards of Performance for Municipal Waste Combustors for Which Construction is Commenced after December 20, 1989 and </w:t>
      </w:r>
      <w:r w:rsidR="00342287">
        <w:rPr>
          <w:sz w:val="22"/>
        </w:rPr>
        <w:t xml:space="preserve">On </w:t>
      </w:r>
      <w:r>
        <w:rPr>
          <w:sz w:val="22"/>
        </w:rPr>
        <w:t xml:space="preserve">or </w:t>
      </w:r>
      <w:r w:rsidR="00342287">
        <w:rPr>
          <w:sz w:val="22"/>
        </w:rPr>
        <w:t xml:space="preserve">Before </w:t>
      </w:r>
      <w:r>
        <w:rPr>
          <w:sz w:val="22"/>
        </w:rPr>
        <w:t>September</w:t>
      </w:r>
      <w:r w:rsidR="00391811">
        <w:rPr>
          <w:sz w:val="22"/>
        </w:rPr>
        <w:t> </w:t>
      </w:r>
      <w:r>
        <w:rPr>
          <w:sz w:val="22"/>
        </w:rPr>
        <w:t>20,</w:t>
      </w:r>
      <w:r w:rsidR="00391811">
        <w:rPr>
          <w:sz w:val="22"/>
        </w:rPr>
        <w:t> </w:t>
      </w:r>
      <w:r>
        <w:rPr>
          <w:sz w:val="22"/>
        </w:rPr>
        <w:t>1994.</w:t>
      </w:r>
    </w:p>
    <w:p w14:paraId="66300BF5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C47ADF6" w14:textId="77777777" w:rsidR="001C4EF8" w:rsidRDefault="001C4EF8" w:rsidP="00176A35">
      <w:pPr>
        <w:numPr>
          <w:ilvl w:val="0"/>
          <w:numId w:val="2"/>
        </w:numPr>
        <w:tabs>
          <w:tab w:val="clear" w:pos="120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Subpart Eb</w:t>
      </w:r>
      <w:r w:rsidR="0033716D">
        <w:rPr>
          <w:sz w:val="22"/>
        </w:rPr>
        <w:t xml:space="preserve"> - </w:t>
      </w:r>
      <w:r w:rsidR="004F3FDE" w:rsidRPr="004F3FDE">
        <w:rPr>
          <w:sz w:val="22"/>
        </w:rPr>
        <w:t>Standards of Performance for Large Municipal Waste Combustors for Which Construction is Commenced After September 20, 1994 or for Which Modification or Reconstruction is Commenced After June 19, 1996</w:t>
      </w:r>
      <w:r>
        <w:rPr>
          <w:sz w:val="22"/>
        </w:rPr>
        <w:t>.</w:t>
      </w:r>
    </w:p>
    <w:p w14:paraId="44E9AF27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3F13D83" w14:textId="77777777" w:rsidR="00E870ED" w:rsidRDefault="001C4EF8" w:rsidP="00F17488">
      <w:pPr>
        <w:numPr>
          <w:ilvl w:val="0"/>
          <w:numId w:val="2"/>
        </w:numPr>
        <w:tabs>
          <w:tab w:val="clear" w:pos="120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FC2067">
        <w:rPr>
          <w:sz w:val="22"/>
        </w:rPr>
        <w:lastRenderedPageBreak/>
        <w:t xml:space="preserve">Subpart </w:t>
      </w:r>
      <w:proofErr w:type="spellStart"/>
      <w:r w:rsidRPr="00FC2067">
        <w:rPr>
          <w:sz w:val="22"/>
        </w:rPr>
        <w:t>Ec</w:t>
      </w:r>
      <w:proofErr w:type="spellEnd"/>
      <w:r w:rsidR="00391811">
        <w:rPr>
          <w:sz w:val="22"/>
        </w:rPr>
        <w:t xml:space="preserve"> -</w:t>
      </w:r>
      <w:r>
        <w:rPr>
          <w:sz w:val="22"/>
        </w:rPr>
        <w:t xml:space="preserve"> Standards of Performance for</w:t>
      </w:r>
      <w:r w:rsidR="00342287">
        <w:rPr>
          <w:sz w:val="22"/>
        </w:rPr>
        <w:t xml:space="preserve"> New Stationary Sources:</w:t>
      </w:r>
      <w:r>
        <w:rPr>
          <w:sz w:val="22"/>
        </w:rPr>
        <w:t xml:space="preserve"> Hospital/Medical/Infectious Waste Incinerators.</w:t>
      </w:r>
    </w:p>
    <w:p w14:paraId="68D1BC54" w14:textId="77777777" w:rsidR="00F17488" w:rsidRDefault="00F1748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sz w:val="22"/>
        </w:rPr>
      </w:pPr>
    </w:p>
    <w:p w14:paraId="5132D861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(12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F</w:t>
      </w:r>
      <w:r w:rsidR="0033716D">
        <w:rPr>
          <w:sz w:val="22"/>
        </w:rPr>
        <w:t xml:space="preserve"> - </w:t>
      </w:r>
      <w:r>
        <w:rPr>
          <w:sz w:val="22"/>
        </w:rPr>
        <w:t>Standards of Performance for Portland Cement Plants.</w:t>
      </w:r>
    </w:p>
    <w:p w14:paraId="26A3D05D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57D526E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>
        <w:rPr>
          <w:sz w:val="22"/>
        </w:rPr>
        <w:t>(13</w:t>
      </w:r>
      <w:r w:rsidR="00E870ED">
        <w:rPr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G</w:t>
      </w:r>
      <w:r w:rsidR="0033716D">
        <w:rPr>
          <w:sz w:val="22"/>
        </w:rPr>
        <w:t xml:space="preserve"> - </w:t>
      </w:r>
      <w:r>
        <w:rPr>
          <w:sz w:val="22"/>
        </w:rPr>
        <w:t>Standards of Performance for Nitric Acid Plants.</w:t>
      </w:r>
    </w:p>
    <w:p w14:paraId="63D02D36" w14:textId="77777777" w:rsidR="00DB7FE6" w:rsidRDefault="00DB7FE6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4635625" w14:textId="77777777" w:rsidR="00E870ED" w:rsidRPr="009C5BBE" w:rsidRDefault="00DB7FE6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  <w:szCs w:val="22"/>
        </w:rPr>
      </w:pPr>
      <w:r w:rsidRPr="009C5BBE">
        <w:rPr>
          <w:sz w:val="22"/>
        </w:rPr>
        <w:t>(14)</w:t>
      </w:r>
      <w:r w:rsidRPr="009C5BBE">
        <w:rPr>
          <w:sz w:val="22"/>
        </w:rPr>
        <w:tab/>
      </w:r>
      <w:r w:rsidRPr="009C5BBE">
        <w:rPr>
          <w:sz w:val="22"/>
          <w:szCs w:val="22"/>
        </w:rPr>
        <w:t>Subpart Ga – Standards of Performance for Nitric Acid Plants for Which Construction, Reconstruction, or Modification Commenced After October 14, 2011.</w:t>
      </w:r>
    </w:p>
    <w:p w14:paraId="31ECA801" w14:textId="77777777" w:rsidR="00DB7FE6" w:rsidRDefault="00DB7FE6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EF5EAAE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sz w:val="22"/>
        </w:rPr>
        <w:t>(1</w:t>
      </w:r>
      <w:r w:rsidR="00DB7FE6" w:rsidRPr="009C5BBE">
        <w:rPr>
          <w:sz w:val="22"/>
        </w:rPr>
        <w:t>5</w:t>
      </w:r>
      <w:r w:rsidR="00E870ED" w:rsidRPr="009C5BBE">
        <w:rPr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H</w:t>
      </w:r>
      <w:r w:rsidR="0033716D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Sulfuric Acid Plants.</w:t>
      </w:r>
    </w:p>
    <w:p w14:paraId="1B38F785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37C68C7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sz w:val="22"/>
        </w:rPr>
        <w:t>(1</w:t>
      </w:r>
      <w:r w:rsidR="00DB7FE6" w:rsidRPr="009C5BBE">
        <w:rPr>
          <w:sz w:val="22"/>
        </w:rPr>
        <w:t>6</w:t>
      </w:r>
      <w:r w:rsidR="00E870ED" w:rsidRPr="009C5BBE">
        <w:rPr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I</w:t>
      </w:r>
      <w:r w:rsidR="0033716D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</w:t>
      </w:r>
      <w:r w:rsidR="005C094E" w:rsidRPr="009C5BBE">
        <w:rPr>
          <w:sz w:val="22"/>
        </w:rPr>
        <w:t xml:space="preserve">Hot Mix </w:t>
      </w:r>
      <w:r w:rsidRPr="009C5BBE">
        <w:rPr>
          <w:sz w:val="22"/>
        </w:rPr>
        <w:t xml:space="preserve">Asphalt </w:t>
      </w:r>
      <w:r w:rsidR="005C094E" w:rsidRPr="009C5BBE">
        <w:rPr>
          <w:sz w:val="22"/>
        </w:rPr>
        <w:t>Facilities</w:t>
      </w:r>
      <w:r w:rsidRPr="009C5BBE">
        <w:rPr>
          <w:sz w:val="22"/>
        </w:rPr>
        <w:t>.</w:t>
      </w:r>
    </w:p>
    <w:p w14:paraId="06CC94BB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17275EA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sz w:val="22"/>
        </w:rPr>
        <w:t>(1</w:t>
      </w:r>
      <w:r w:rsidR="00DB7FE6" w:rsidRPr="009C5BBE">
        <w:rPr>
          <w:sz w:val="22"/>
        </w:rPr>
        <w:t>7</w:t>
      </w:r>
      <w:r w:rsidR="00E870ED" w:rsidRPr="009C5BBE">
        <w:rPr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J</w:t>
      </w:r>
      <w:r w:rsidR="0033716D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Petroleum Refineries.</w:t>
      </w:r>
    </w:p>
    <w:p w14:paraId="4F2283C0" w14:textId="77777777" w:rsidR="00157B19" w:rsidRPr="009C5BBE" w:rsidRDefault="00157B19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FF0000"/>
          <w:sz w:val="22"/>
        </w:rPr>
      </w:pPr>
    </w:p>
    <w:p w14:paraId="7A252C65" w14:textId="77777777" w:rsidR="00157B19" w:rsidRPr="009C5BBE" w:rsidRDefault="00157B19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(1</w:t>
      </w:r>
      <w:r w:rsidR="00DB7FE6" w:rsidRPr="009C5BBE">
        <w:rPr>
          <w:color w:val="0D0D0D"/>
          <w:sz w:val="22"/>
        </w:rPr>
        <w:t>8</w:t>
      </w:r>
      <w:r w:rsidRPr="009C5BBE">
        <w:rPr>
          <w:color w:val="0D0D0D"/>
          <w:sz w:val="22"/>
        </w:rPr>
        <w:t>)</w:t>
      </w:r>
      <w:r w:rsidRPr="009C5BBE">
        <w:rPr>
          <w:color w:val="0D0D0D"/>
          <w:sz w:val="22"/>
        </w:rPr>
        <w:tab/>
      </w:r>
      <w:bookmarkStart w:id="4" w:name="_Hlk67494650"/>
      <w:r w:rsidRPr="009C5BBE">
        <w:rPr>
          <w:color w:val="0D0D0D"/>
          <w:sz w:val="22"/>
        </w:rPr>
        <w:t>Subpart Ja</w:t>
      </w:r>
      <w:r w:rsidR="0033716D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Petroleum Refineries for which Construction, Reconstruction, or Modification Commenced After May 14, 2007</w:t>
      </w:r>
      <w:r w:rsidR="00391811" w:rsidRPr="009C5BBE">
        <w:rPr>
          <w:color w:val="0D0D0D"/>
          <w:sz w:val="22"/>
        </w:rPr>
        <w:t>.</w:t>
      </w:r>
    </w:p>
    <w:bookmarkEnd w:id="4"/>
    <w:p w14:paraId="7F25221D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E9AA374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(1</w:t>
      </w:r>
      <w:r w:rsidR="009B7291" w:rsidRPr="009C5BBE">
        <w:rPr>
          <w:color w:val="0D0D0D"/>
          <w:sz w:val="22"/>
        </w:rPr>
        <w:t>9</w:t>
      </w:r>
      <w:r w:rsidR="009C5BBE" w:rsidRPr="009C5BBE">
        <w:rPr>
          <w:color w:val="0D0D0D"/>
          <w:sz w:val="22"/>
        </w:rPr>
        <w:t>)</w:t>
      </w:r>
      <w:r w:rsidR="00DB7FE6" w:rsidRPr="009C5BBE">
        <w:rPr>
          <w:color w:val="0D0D0D"/>
          <w:sz w:val="22"/>
        </w:rPr>
        <w:t xml:space="preserve"> </w:t>
      </w:r>
      <w:r w:rsidR="009C5BBE">
        <w:rPr>
          <w:color w:val="0D0D0D"/>
          <w:sz w:val="22"/>
        </w:rPr>
        <w:tab/>
      </w:r>
      <w:r w:rsidRPr="009C5BBE">
        <w:rPr>
          <w:sz w:val="22"/>
        </w:rPr>
        <w:t>Subpart K</w:t>
      </w:r>
      <w:r w:rsidR="0033716D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Storage Vessels for Petroleum Liquids for Which Construction, Reconstruction, or Modification Commenced After</w:t>
      </w:r>
      <w:r w:rsidR="002A3BDD">
        <w:rPr>
          <w:sz w:val="22"/>
        </w:rPr>
        <w:t xml:space="preserve"> June 11, 1973,</w:t>
      </w:r>
      <w:r w:rsidRPr="009C5BBE">
        <w:rPr>
          <w:sz w:val="22"/>
        </w:rPr>
        <w:t xml:space="preserve"> and Prior to May 19, 1978.</w:t>
      </w:r>
    </w:p>
    <w:p w14:paraId="1D7D68CB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F29EA71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9B7291" w:rsidRPr="009C5BBE">
        <w:rPr>
          <w:color w:val="0D0D0D"/>
          <w:sz w:val="22"/>
        </w:rPr>
        <w:t>20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 Ka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Storage Vessels for Petroleum Liquids for </w:t>
      </w:r>
      <w:r w:rsidR="0010176B" w:rsidRPr="009C5BBE">
        <w:rPr>
          <w:sz w:val="22"/>
        </w:rPr>
        <w:t>Which Construction</w:t>
      </w:r>
      <w:r w:rsidRPr="009C5BBE">
        <w:rPr>
          <w:sz w:val="22"/>
        </w:rPr>
        <w:t xml:space="preserve">, Reconstruction, or Modification </w:t>
      </w:r>
      <w:r w:rsidR="005C094E" w:rsidRPr="009C5BBE">
        <w:rPr>
          <w:sz w:val="22"/>
        </w:rPr>
        <w:t xml:space="preserve">Commenced </w:t>
      </w:r>
      <w:r w:rsidRPr="009C5BBE">
        <w:rPr>
          <w:sz w:val="22"/>
        </w:rPr>
        <w:t>After</w:t>
      </w:r>
      <w:r w:rsidR="002A3BDD">
        <w:rPr>
          <w:sz w:val="22"/>
        </w:rPr>
        <w:t xml:space="preserve"> May 18, 1978,</w:t>
      </w:r>
      <w:r w:rsidRPr="009C5BBE">
        <w:rPr>
          <w:sz w:val="22"/>
        </w:rPr>
        <w:t xml:space="preserve"> and Prior to </w:t>
      </w:r>
      <w:smartTag w:uri="urn:schemas-microsoft-com:office:smarttags" w:element="date">
        <w:smartTagPr>
          <w:attr w:name="Year" w:val="1984"/>
          <w:attr w:name="Day" w:val="23"/>
          <w:attr w:name="Month" w:val="7"/>
        </w:smartTagPr>
        <w:r w:rsidRPr="009C5BBE">
          <w:rPr>
            <w:sz w:val="22"/>
          </w:rPr>
          <w:t>July 23, 1984</w:t>
        </w:r>
      </w:smartTag>
      <w:r w:rsidRPr="009C5BBE">
        <w:rPr>
          <w:sz w:val="22"/>
        </w:rPr>
        <w:t>.</w:t>
      </w:r>
    </w:p>
    <w:p w14:paraId="3613E1D2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3CAF701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D562AD" w:rsidRPr="009C5BBE">
        <w:rPr>
          <w:color w:val="0D0D0D"/>
          <w:sz w:val="22"/>
        </w:rPr>
        <w:t>2</w:t>
      </w:r>
      <w:r w:rsidR="009B7291" w:rsidRPr="009C5BBE">
        <w:rPr>
          <w:color w:val="0D0D0D"/>
          <w:sz w:val="22"/>
        </w:rPr>
        <w:t>1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</w:t>
      </w:r>
      <w:r w:rsidRPr="009C5BBE">
        <w:rPr>
          <w:sz w:val="22"/>
        </w:rPr>
        <w:t xml:space="preserve"> </w:t>
      </w:r>
      <w:proofErr w:type="spellStart"/>
      <w:r w:rsidRPr="009C5BBE">
        <w:rPr>
          <w:sz w:val="22"/>
        </w:rPr>
        <w:t>Kb</w:t>
      </w:r>
      <w:proofErr w:type="spellEnd"/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Volatile Organic Liquid Storage Vessels (Including Petroleum Liquid Storage Vessels) for Which Construction, Reconstruction, or Modification commenced after July 23, 1984.</w:t>
      </w:r>
    </w:p>
    <w:p w14:paraId="0C72A04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247C99FE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2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L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Secondary Lead Smelters.</w:t>
      </w:r>
    </w:p>
    <w:p w14:paraId="5B2C6DF4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2830AD2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3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sz w:val="22"/>
        </w:rPr>
        <w:t>Subpart M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Secondary Brass and Bronze Production Plants.</w:t>
      </w:r>
    </w:p>
    <w:p w14:paraId="08430AAF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0EFDA0BD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4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N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Primary Emissions from Basic Oxygen Process Furnaces for Which Construction is Commenced After June 11, 1973.</w:t>
      </w:r>
    </w:p>
    <w:p w14:paraId="330C18E0" w14:textId="77777777" w:rsidR="00DB7FE6" w:rsidRPr="009C5BBE" w:rsidRDefault="00DB7FE6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2231546" w14:textId="77777777" w:rsidR="00DB7FE6" w:rsidRPr="009C5BBE" w:rsidRDefault="00DB7FE6" w:rsidP="00DB7FE6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sz w:val="22"/>
        </w:rPr>
        <w:t>(2</w:t>
      </w:r>
      <w:r w:rsidR="009B7291" w:rsidRPr="009C5BBE">
        <w:rPr>
          <w:sz w:val="22"/>
        </w:rPr>
        <w:t>5</w:t>
      </w:r>
      <w:r w:rsidRPr="009C5BBE">
        <w:rPr>
          <w:sz w:val="22"/>
        </w:rPr>
        <w:t>)</w:t>
      </w:r>
      <w:r w:rsidRPr="009C5BBE">
        <w:rPr>
          <w:sz w:val="22"/>
        </w:rPr>
        <w:tab/>
        <w:t>Subpart Na - Standards of Performance for Secondary Emissions from Basic Oxygen Process Steelmaking Facilities for Which Construction is Commenced After</w:t>
      </w:r>
      <w:r w:rsidR="002A3BDD">
        <w:rPr>
          <w:sz w:val="22"/>
        </w:rPr>
        <w:t xml:space="preserve"> January 20,</w:t>
      </w:r>
      <w:r w:rsidRPr="009C5BBE">
        <w:rPr>
          <w:sz w:val="22"/>
        </w:rPr>
        <w:t xml:space="preserve"> 1983.</w:t>
      </w:r>
    </w:p>
    <w:p w14:paraId="46F41EB5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E4ADE65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6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O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Sewage Treatment Plants.</w:t>
      </w:r>
    </w:p>
    <w:p w14:paraId="39429DF6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BB2B4F7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7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P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Primary Copper Smelters.</w:t>
      </w:r>
    </w:p>
    <w:p w14:paraId="21D55654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05D8BE4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8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Q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Primary Zinc Smelters.</w:t>
      </w:r>
    </w:p>
    <w:p w14:paraId="6FCC6638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0F7A5B9F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(2</w:t>
      </w:r>
      <w:r w:rsidR="009B7291" w:rsidRPr="009C5BBE">
        <w:rPr>
          <w:color w:val="0D0D0D"/>
          <w:sz w:val="22"/>
        </w:rPr>
        <w:t>9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FF0000"/>
          <w:sz w:val="22"/>
        </w:rPr>
        <w:tab/>
      </w:r>
      <w:r w:rsidRPr="009C5BBE">
        <w:rPr>
          <w:sz w:val="22"/>
        </w:rPr>
        <w:t>Subpart R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Primary Lead Smelters.</w:t>
      </w:r>
    </w:p>
    <w:p w14:paraId="64199E2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5D62620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lastRenderedPageBreak/>
        <w:t>(</w:t>
      </w:r>
      <w:r w:rsidR="009B7291" w:rsidRPr="009C5BBE">
        <w:rPr>
          <w:color w:val="0D0D0D"/>
          <w:sz w:val="22"/>
        </w:rPr>
        <w:t>30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 S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Primary Aluminum Reduction Plants.</w:t>
      </w:r>
    </w:p>
    <w:p w14:paraId="4381642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5ED0849" w14:textId="77777777" w:rsidR="001C4EF8" w:rsidRDefault="00F1748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DB7FE6" w:rsidRPr="009C5BBE">
        <w:rPr>
          <w:color w:val="0D0D0D"/>
          <w:sz w:val="22"/>
        </w:rPr>
        <w:t>3</w:t>
      </w:r>
      <w:r w:rsidR="009B7291" w:rsidRPr="009C5BBE">
        <w:rPr>
          <w:color w:val="0D0D0D"/>
          <w:sz w:val="22"/>
        </w:rPr>
        <w:t>1</w:t>
      </w:r>
      <w:r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="001C4EF8" w:rsidRPr="009C5BBE">
        <w:rPr>
          <w:sz w:val="22"/>
        </w:rPr>
        <w:t>Subpart T</w:t>
      </w:r>
      <w:r w:rsidR="009971D4" w:rsidRPr="009C5BBE">
        <w:rPr>
          <w:sz w:val="22"/>
        </w:rPr>
        <w:t xml:space="preserve"> - </w:t>
      </w:r>
      <w:r w:rsidR="001C4EF8" w:rsidRPr="009C5BBE">
        <w:rPr>
          <w:sz w:val="22"/>
        </w:rPr>
        <w:t>Standards of Performance for</w:t>
      </w:r>
      <w:r w:rsidR="00E870ED" w:rsidRPr="009C5BBE">
        <w:rPr>
          <w:sz w:val="22"/>
        </w:rPr>
        <w:t xml:space="preserve"> </w:t>
      </w:r>
      <w:r w:rsidR="001C4EF8" w:rsidRPr="009C5BBE">
        <w:rPr>
          <w:sz w:val="22"/>
        </w:rPr>
        <w:t xml:space="preserve">the Phosphate Fertilizer Industry: </w:t>
      </w:r>
      <w:r w:rsidR="005C094E" w:rsidRPr="009C5BBE">
        <w:rPr>
          <w:sz w:val="22"/>
        </w:rPr>
        <w:t>Wet</w:t>
      </w:r>
      <w:r w:rsidR="00391811" w:rsidRPr="009C5BBE">
        <w:rPr>
          <w:sz w:val="22"/>
        </w:rPr>
        <w:noBreakHyphen/>
      </w:r>
      <w:r w:rsidR="001C4EF8" w:rsidRPr="009C5BBE">
        <w:rPr>
          <w:sz w:val="22"/>
        </w:rPr>
        <w:t>Process Phosphoric Acid Plants.</w:t>
      </w:r>
    </w:p>
    <w:p w14:paraId="0163AE9E" w14:textId="77777777" w:rsidR="002A3BDD" w:rsidRPr="009C5BBE" w:rsidRDefault="002A3BD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82E8B8F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D562AD" w:rsidRPr="009C5BBE">
        <w:rPr>
          <w:color w:val="0D0D0D"/>
          <w:sz w:val="22"/>
        </w:rPr>
        <w:t>3</w:t>
      </w:r>
      <w:r w:rsidR="009B7291" w:rsidRPr="009C5BBE">
        <w:rPr>
          <w:color w:val="0D0D0D"/>
          <w:sz w:val="22"/>
        </w:rPr>
        <w:t>2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 U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the Phosphate Fertilizer Industry: Superphosphoric Acid Plants.</w:t>
      </w:r>
    </w:p>
    <w:p w14:paraId="5CACD493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D63F8B8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3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sz w:val="22"/>
        </w:rPr>
        <w:t>Subpart V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the Phosphate Fertilizer Industry: Diammonium Phosphate Plants</w:t>
      </w:r>
      <w:r w:rsidR="00391811" w:rsidRPr="009C5BBE">
        <w:rPr>
          <w:sz w:val="22"/>
        </w:rPr>
        <w:t>.</w:t>
      </w:r>
    </w:p>
    <w:p w14:paraId="2F49AB92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847DC47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4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W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the Phosphate Fertilizer Industry: Triple Superphosphate Plants.</w:t>
      </w:r>
    </w:p>
    <w:p w14:paraId="37DA5A46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EC5F809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5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sz w:val="22"/>
        </w:rPr>
        <w:t>Subpart X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the Phosphate Fertilizer Industry: Granular Triple Superphosphate Storage Facilities.</w:t>
      </w:r>
    </w:p>
    <w:p w14:paraId="1BC94B7C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461A233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6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sz w:val="22"/>
        </w:rPr>
        <w:t>Subpart Y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Coal Preparation</w:t>
      </w:r>
      <w:r w:rsidR="005C094E" w:rsidRPr="009C5BBE">
        <w:rPr>
          <w:sz w:val="22"/>
        </w:rPr>
        <w:t xml:space="preserve"> and Processing</w:t>
      </w:r>
      <w:r w:rsidRPr="009C5BBE">
        <w:rPr>
          <w:sz w:val="22"/>
        </w:rPr>
        <w:t xml:space="preserve"> Plants.</w:t>
      </w:r>
    </w:p>
    <w:p w14:paraId="00984351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C5B2429" w14:textId="77777777" w:rsidR="001C4EF8" w:rsidRPr="009C5BBE" w:rsidRDefault="00F1748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7</w:t>
      </w:r>
      <w:r w:rsidRPr="009C5BBE">
        <w:rPr>
          <w:color w:val="0D0D0D"/>
          <w:sz w:val="22"/>
        </w:rPr>
        <w:t>)</w:t>
      </w:r>
      <w:r w:rsidRPr="009C5BBE">
        <w:rPr>
          <w:color w:val="0D0D0D"/>
          <w:sz w:val="22"/>
        </w:rPr>
        <w:tab/>
      </w:r>
      <w:r w:rsidR="001C4EF8" w:rsidRPr="009C5BBE">
        <w:rPr>
          <w:sz w:val="22"/>
        </w:rPr>
        <w:t>Subpart Z</w:t>
      </w:r>
      <w:r w:rsidR="009971D4" w:rsidRPr="009C5BBE">
        <w:rPr>
          <w:sz w:val="22"/>
        </w:rPr>
        <w:t xml:space="preserve"> - </w:t>
      </w:r>
      <w:r w:rsidR="001C4EF8" w:rsidRPr="009C5BBE">
        <w:rPr>
          <w:sz w:val="22"/>
        </w:rPr>
        <w:t>Standards of Performance for Ferroalloy Production Facilities.</w:t>
      </w:r>
    </w:p>
    <w:p w14:paraId="7F871966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CE667FF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8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AA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Steel Plants: Electric Arc Furnaces Constructed After October 21, 1974</w:t>
      </w:r>
      <w:r w:rsidR="005C094E" w:rsidRPr="009C5BBE">
        <w:rPr>
          <w:sz w:val="22"/>
        </w:rPr>
        <w:t>,</w:t>
      </w:r>
      <w:r w:rsidRPr="009C5BBE">
        <w:rPr>
          <w:sz w:val="22"/>
        </w:rPr>
        <w:t xml:space="preserve"> and on or Before </w:t>
      </w:r>
      <w:smartTag w:uri="urn:schemas-microsoft-com:office:smarttags" w:element="date">
        <w:smartTagPr>
          <w:attr w:name="Year" w:val="1983"/>
          <w:attr w:name="Day" w:val="17"/>
          <w:attr w:name="Month" w:val="8"/>
        </w:smartTagPr>
        <w:r w:rsidRPr="009C5BBE">
          <w:rPr>
            <w:sz w:val="22"/>
          </w:rPr>
          <w:t>August 17, 1983</w:t>
        </w:r>
      </w:smartTag>
      <w:r w:rsidRPr="009C5BBE">
        <w:rPr>
          <w:sz w:val="22"/>
        </w:rPr>
        <w:t>.</w:t>
      </w:r>
    </w:p>
    <w:p w14:paraId="2E308AEA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74DEE6E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(3</w:t>
      </w:r>
      <w:r w:rsidR="009B7291" w:rsidRPr="009C5BBE">
        <w:rPr>
          <w:color w:val="0D0D0D"/>
          <w:sz w:val="22"/>
        </w:rPr>
        <w:t>9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</w:t>
      </w:r>
      <w:r w:rsidRPr="009C5BBE">
        <w:rPr>
          <w:sz w:val="22"/>
        </w:rPr>
        <w:t xml:space="preserve"> </w:t>
      </w:r>
      <w:proofErr w:type="spellStart"/>
      <w:r w:rsidRPr="009C5BBE">
        <w:rPr>
          <w:sz w:val="22"/>
        </w:rPr>
        <w:t>AAa</w:t>
      </w:r>
      <w:proofErr w:type="spellEnd"/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Steel Plants</w:t>
      </w:r>
      <w:r w:rsidR="00D823C5">
        <w:rPr>
          <w:sz w:val="22"/>
        </w:rPr>
        <w:t>:</w:t>
      </w:r>
      <w:r w:rsidRPr="009C5BBE">
        <w:rPr>
          <w:sz w:val="22"/>
        </w:rPr>
        <w:t xml:space="preserve"> Electric Arc Furnaces and Argon-Oxygen Decarburization Vessels Constructed After August </w:t>
      </w:r>
      <w:r w:rsidR="002E5CDD" w:rsidRPr="009C5BBE">
        <w:rPr>
          <w:sz w:val="22"/>
        </w:rPr>
        <w:t>1</w:t>
      </w:r>
      <w:r w:rsidRPr="009C5BBE">
        <w:rPr>
          <w:sz w:val="22"/>
        </w:rPr>
        <w:t>7, 1983.</w:t>
      </w:r>
    </w:p>
    <w:p w14:paraId="23C0A703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0D3E8A5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9B7291" w:rsidRPr="009C5BBE">
        <w:rPr>
          <w:color w:val="0D0D0D"/>
          <w:sz w:val="22"/>
        </w:rPr>
        <w:t>40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 BB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Kraft Pulp Mills.</w:t>
      </w:r>
    </w:p>
    <w:p w14:paraId="4C90D184" w14:textId="77777777" w:rsidR="00361A43" w:rsidRPr="009C5BBE" w:rsidRDefault="00361A43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AC28B0B" w14:textId="77777777" w:rsidR="00361A43" w:rsidRPr="009C5BBE" w:rsidRDefault="00361A43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9B7291" w:rsidRPr="009C5BBE">
        <w:rPr>
          <w:color w:val="0D0D0D"/>
          <w:sz w:val="22"/>
        </w:rPr>
        <w:t>41</w:t>
      </w:r>
      <w:r w:rsidRPr="009C5BBE">
        <w:rPr>
          <w:color w:val="0D0D0D"/>
          <w:sz w:val="22"/>
        </w:rPr>
        <w:t>)</w:t>
      </w:r>
      <w:r w:rsidRPr="009C5BBE">
        <w:rPr>
          <w:color w:val="0D0D0D"/>
          <w:sz w:val="22"/>
        </w:rPr>
        <w:tab/>
        <w:t xml:space="preserve">Subpart </w:t>
      </w:r>
      <w:proofErr w:type="spellStart"/>
      <w:r w:rsidRPr="009C5BBE">
        <w:rPr>
          <w:color w:val="0D0D0D"/>
          <w:sz w:val="22"/>
        </w:rPr>
        <w:t>BBa</w:t>
      </w:r>
      <w:proofErr w:type="spellEnd"/>
      <w:r w:rsidR="009971D4" w:rsidRPr="009C5BBE">
        <w:rPr>
          <w:color w:val="0D0D0D"/>
          <w:sz w:val="22"/>
        </w:rPr>
        <w:t xml:space="preserve"> - </w:t>
      </w:r>
      <w:r w:rsidR="00B709F5" w:rsidRPr="009C5BBE">
        <w:rPr>
          <w:color w:val="0D0D0D"/>
          <w:sz w:val="22"/>
        </w:rPr>
        <w:t>Standards of Performance for Kraft Pulp Mill Affected Sources for which Construction, Reconstruction, or Modification Commenced after May 23</w:t>
      </w:r>
      <w:r w:rsidR="002E5CDD" w:rsidRPr="009C5BBE">
        <w:rPr>
          <w:color w:val="0D0D0D"/>
          <w:sz w:val="22"/>
        </w:rPr>
        <w:t>, 2013</w:t>
      </w:r>
      <w:r w:rsidR="00B709F5" w:rsidRPr="009C5BBE">
        <w:rPr>
          <w:color w:val="0D0D0D"/>
          <w:sz w:val="22"/>
        </w:rPr>
        <w:t>.</w:t>
      </w:r>
    </w:p>
    <w:p w14:paraId="445D19E2" w14:textId="77777777" w:rsidR="00B709F5" w:rsidRDefault="00B709F5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42B6DABA" w14:textId="77777777" w:rsidR="001C4EF8" w:rsidRDefault="001C4EF8" w:rsidP="009C5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EC21DF" w:rsidRPr="009C5BBE">
        <w:rPr>
          <w:color w:val="0D0D0D"/>
          <w:sz w:val="22"/>
        </w:rPr>
        <w:t>4</w:t>
      </w:r>
      <w:r w:rsidR="009B7291" w:rsidRPr="009C5BBE">
        <w:rPr>
          <w:color w:val="0D0D0D"/>
          <w:sz w:val="22"/>
        </w:rPr>
        <w:t>2</w:t>
      </w:r>
      <w:r w:rsidR="00E870ED" w:rsidRPr="009C5BBE">
        <w:rPr>
          <w:color w:val="0D0D0D"/>
          <w:sz w:val="22"/>
        </w:rPr>
        <w:t>)</w:t>
      </w:r>
      <w:r w:rsidR="00EC21DF" w:rsidRPr="009C5BBE">
        <w:rPr>
          <w:sz w:val="22"/>
        </w:rPr>
        <w:t xml:space="preserve"> </w:t>
      </w:r>
      <w:r w:rsidR="009C5BBE">
        <w:rPr>
          <w:sz w:val="22"/>
        </w:rPr>
        <w:tab/>
      </w:r>
      <w:r w:rsidRPr="009C5BBE">
        <w:rPr>
          <w:sz w:val="22"/>
        </w:rPr>
        <w:t>Subpart</w:t>
      </w:r>
      <w:r>
        <w:rPr>
          <w:sz w:val="22"/>
        </w:rPr>
        <w:t xml:space="preserve"> CC</w:t>
      </w:r>
      <w:r w:rsidR="009971D4">
        <w:rPr>
          <w:sz w:val="22"/>
        </w:rPr>
        <w:t xml:space="preserve"> - </w:t>
      </w:r>
      <w:r>
        <w:rPr>
          <w:sz w:val="22"/>
        </w:rPr>
        <w:t>Standards of Performance for Glass Manufacturing Plants.</w:t>
      </w:r>
    </w:p>
    <w:p w14:paraId="7BF1F36C" w14:textId="77777777" w:rsidR="001C4EF8" w:rsidRPr="00EC21DF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FF0000"/>
          <w:sz w:val="22"/>
        </w:rPr>
      </w:pPr>
    </w:p>
    <w:p w14:paraId="0C147EFB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680273">
        <w:rPr>
          <w:color w:val="0D0D0D"/>
          <w:sz w:val="22"/>
        </w:rPr>
        <w:t>(</w:t>
      </w:r>
      <w:r w:rsidR="00EC21DF" w:rsidRPr="00680273">
        <w:rPr>
          <w:color w:val="0D0D0D"/>
          <w:sz w:val="22"/>
        </w:rPr>
        <w:t>4</w:t>
      </w:r>
      <w:r w:rsidR="009B7291" w:rsidRPr="00680273">
        <w:rPr>
          <w:color w:val="0D0D0D"/>
          <w:sz w:val="22"/>
        </w:rPr>
        <w:t>3</w:t>
      </w:r>
      <w:r w:rsidR="00E870ED" w:rsidRPr="00680273">
        <w:rPr>
          <w:color w:val="0D0D0D"/>
          <w:sz w:val="22"/>
        </w:rPr>
        <w:t>)</w:t>
      </w:r>
      <w:r w:rsidR="00EC21DF">
        <w:rPr>
          <w:sz w:val="22"/>
        </w:rPr>
        <w:t xml:space="preserve"> </w:t>
      </w:r>
      <w:r w:rsidR="009C5BBE">
        <w:rPr>
          <w:sz w:val="22"/>
        </w:rPr>
        <w:tab/>
      </w:r>
      <w:r>
        <w:rPr>
          <w:sz w:val="22"/>
        </w:rPr>
        <w:t>Subpart DD</w:t>
      </w:r>
      <w:r w:rsidR="009971D4">
        <w:rPr>
          <w:sz w:val="22"/>
        </w:rPr>
        <w:t xml:space="preserve"> - </w:t>
      </w:r>
      <w:r>
        <w:rPr>
          <w:sz w:val="22"/>
        </w:rPr>
        <w:t>Standards of Performance for Grain Elevators.</w:t>
      </w:r>
    </w:p>
    <w:p w14:paraId="095829B2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6444238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680273">
        <w:rPr>
          <w:color w:val="0D0D0D"/>
          <w:sz w:val="22"/>
        </w:rPr>
        <w:t>(4</w:t>
      </w:r>
      <w:r w:rsidR="009B7291" w:rsidRPr="00680273">
        <w:rPr>
          <w:color w:val="0D0D0D"/>
          <w:sz w:val="22"/>
        </w:rPr>
        <w:t>4</w:t>
      </w:r>
      <w:r w:rsidR="00E870ED" w:rsidRPr="00680273">
        <w:rPr>
          <w:color w:val="0D0D0D"/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EE</w:t>
      </w:r>
      <w:r w:rsidR="009971D4">
        <w:rPr>
          <w:sz w:val="22"/>
        </w:rPr>
        <w:t xml:space="preserve"> - </w:t>
      </w:r>
      <w:r>
        <w:rPr>
          <w:sz w:val="22"/>
        </w:rPr>
        <w:t>Standards of Performance for Surface Coating of Metal Furniture.</w:t>
      </w:r>
    </w:p>
    <w:p w14:paraId="53AD2CCB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59C4868" w14:textId="77777777" w:rsidR="00E870ED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680273">
        <w:rPr>
          <w:color w:val="0D0D0D"/>
          <w:sz w:val="22"/>
        </w:rPr>
        <w:t>(</w:t>
      </w:r>
      <w:r w:rsidR="00F17488" w:rsidRPr="00680273">
        <w:rPr>
          <w:color w:val="0D0D0D"/>
          <w:sz w:val="22"/>
        </w:rPr>
        <w:t>4</w:t>
      </w:r>
      <w:r w:rsidR="009B7291" w:rsidRPr="00680273">
        <w:rPr>
          <w:color w:val="0D0D0D"/>
          <w:sz w:val="22"/>
        </w:rPr>
        <w:t>5</w:t>
      </w:r>
      <w:r w:rsidR="00E870ED" w:rsidRPr="00680273">
        <w:rPr>
          <w:color w:val="0D0D0D"/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GG</w:t>
      </w:r>
      <w:r w:rsidR="009971D4">
        <w:rPr>
          <w:sz w:val="22"/>
        </w:rPr>
        <w:t xml:space="preserve"> - </w:t>
      </w:r>
      <w:r>
        <w:rPr>
          <w:sz w:val="22"/>
        </w:rPr>
        <w:t>Standards of Performance for Stationary Gas Turbines.</w:t>
      </w:r>
    </w:p>
    <w:p w14:paraId="47927D65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9E16DB2" w14:textId="77777777" w:rsidR="00E870ED" w:rsidRPr="00680273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680273">
        <w:rPr>
          <w:color w:val="0D0D0D"/>
          <w:sz w:val="22"/>
        </w:rPr>
        <w:t>(4</w:t>
      </w:r>
      <w:r w:rsidR="009B7291" w:rsidRPr="00680273">
        <w:rPr>
          <w:color w:val="0D0D0D"/>
          <w:sz w:val="22"/>
        </w:rPr>
        <w:t>6</w:t>
      </w:r>
      <w:r w:rsidR="00E870ED" w:rsidRPr="00680273">
        <w:rPr>
          <w:color w:val="0D0D0D"/>
          <w:sz w:val="22"/>
        </w:rPr>
        <w:t>)</w:t>
      </w:r>
      <w:r w:rsidR="00E870ED" w:rsidRPr="00680273">
        <w:rPr>
          <w:color w:val="0D0D0D"/>
          <w:sz w:val="22"/>
        </w:rPr>
        <w:tab/>
      </w:r>
      <w:r w:rsidRPr="00680273">
        <w:rPr>
          <w:color w:val="0D0D0D"/>
          <w:sz w:val="22"/>
        </w:rPr>
        <w:t>Subpart HH</w:t>
      </w:r>
      <w:r w:rsidR="009971D4" w:rsidRPr="00680273">
        <w:rPr>
          <w:color w:val="0D0D0D"/>
          <w:sz w:val="22"/>
        </w:rPr>
        <w:t xml:space="preserve"> - </w:t>
      </w:r>
      <w:r w:rsidRPr="00680273">
        <w:rPr>
          <w:color w:val="0D0D0D"/>
          <w:sz w:val="22"/>
        </w:rPr>
        <w:t>Standards of Performance for Lime Manufacturing Plants.</w:t>
      </w:r>
    </w:p>
    <w:p w14:paraId="383A35FB" w14:textId="77777777" w:rsidR="00E870ED" w:rsidRPr="00680273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2C35C2BD" w14:textId="77777777" w:rsidR="001C4EF8" w:rsidRPr="00680273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680273">
        <w:rPr>
          <w:color w:val="0D0D0D"/>
          <w:sz w:val="22"/>
        </w:rPr>
        <w:t>(4</w:t>
      </w:r>
      <w:r w:rsidR="009B7291" w:rsidRPr="00680273">
        <w:rPr>
          <w:color w:val="0D0D0D"/>
          <w:sz w:val="22"/>
        </w:rPr>
        <w:t>7</w:t>
      </w:r>
      <w:r w:rsidR="00E870ED" w:rsidRPr="00680273">
        <w:rPr>
          <w:color w:val="0D0D0D"/>
          <w:sz w:val="22"/>
        </w:rPr>
        <w:t>)</w:t>
      </w:r>
      <w:r w:rsidR="00E870ED" w:rsidRPr="00680273">
        <w:rPr>
          <w:color w:val="0D0D0D"/>
          <w:sz w:val="22"/>
        </w:rPr>
        <w:tab/>
      </w:r>
      <w:r w:rsidRPr="00680273">
        <w:rPr>
          <w:color w:val="0D0D0D"/>
          <w:sz w:val="22"/>
        </w:rPr>
        <w:t>Subpart KK</w:t>
      </w:r>
      <w:r w:rsidR="009971D4" w:rsidRPr="00680273">
        <w:rPr>
          <w:color w:val="0D0D0D"/>
          <w:sz w:val="22"/>
        </w:rPr>
        <w:t xml:space="preserve"> - </w:t>
      </w:r>
      <w:r w:rsidRPr="00680273">
        <w:rPr>
          <w:color w:val="0D0D0D"/>
          <w:sz w:val="22"/>
        </w:rPr>
        <w:t>Standards of Performance for Lead-Acid Battery Manufacturing Plants.</w:t>
      </w:r>
    </w:p>
    <w:p w14:paraId="257C9D5C" w14:textId="77777777" w:rsidR="00E870ED" w:rsidRPr="00680273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38AD9DF3" w14:textId="77777777" w:rsidR="001C4EF8" w:rsidRPr="00680273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680273">
        <w:rPr>
          <w:color w:val="0D0D0D"/>
          <w:sz w:val="22"/>
        </w:rPr>
        <w:t>(4</w:t>
      </w:r>
      <w:r w:rsidR="009B7291" w:rsidRPr="00680273">
        <w:rPr>
          <w:color w:val="0D0D0D"/>
          <w:sz w:val="22"/>
        </w:rPr>
        <w:t>8</w:t>
      </w:r>
      <w:r w:rsidR="00E870ED" w:rsidRPr="00680273">
        <w:rPr>
          <w:color w:val="0D0D0D"/>
          <w:sz w:val="22"/>
        </w:rPr>
        <w:t>)</w:t>
      </w:r>
      <w:r w:rsidR="00E870ED" w:rsidRPr="00680273">
        <w:rPr>
          <w:color w:val="0D0D0D"/>
          <w:sz w:val="22"/>
        </w:rPr>
        <w:tab/>
      </w:r>
      <w:r w:rsidRPr="00680273">
        <w:rPr>
          <w:color w:val="0D0D0D"/>
          <w:sz w:val="22"/>
        </w:rPr>
        <w:t>Subpart LL</w:t>
      </w:r>
      <w:r w:rsidR="009971D4" w:rsidRPr="00680273">
        <w:rPr>
          <w:color w:val="0D0D0D"/>
          <w:sz w:val="22"/>
        </w:rPr>
        <w:t xml:space="preserve"> - </w:t>
      </w:r>
      <w:r w:rsidRPr="00680273">
        <w:rPr>
          <w:color w:val="0D0D0D"/>
          <w:sz w:val="22"/>
        </w:rPr>
        <w:t>Standards of Performance for Metallic Mineral Processing Plants.</w:t>
      </w:r>
    </w:p>
    <w:p w14:paraId="779150B6" w14:textId="77777777" w:rsidR="00E870ED" w:rsidRPr="00680273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1CD2435D" w14:textId="77777777" w:rsidR="001C4EF8" w:rsidRPr="00680273" w:rsidRDefault="00F1748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680273">
        <w:rPr>
          <w:color w:val="0D0D0D"/>
          <w:sz w:val="22"/>
        </w:rPr>
        <w:t>(4</w:t>
      </w:r>
      <w:r w:rsidR="009B7291" w:rsidRPr="00680273">
        <w:rPr>
          <w:color w:val="0D0D0D"/>
          <w:sz w:val="22"/>
        </w:rPr>
        <w:t>9</w:t>
      </w:r>
      <w:r w:rsidRPr="00680273">
        <w:rPr>
          <w:color w:val="0D0D0D"/>
          <w:sz w:val="22"/>
        </w:rPr>
        <w:t>)</w:t>
      </w:r>
      <w:r w:rsidRPr="00680273">
        <w:rPr>
          <w:color w:val="0D0D0D"/>
          <w:sz w:val="22"/>
        </w:rPr>
        <w:tab/>
      </w:r>
      <w:r w:rsidR="001C4EF8" w:rsidRPr="00680273">
        <w:rPr>
          <w:color w:val="0D0D0D"/>
          <w:sz w:val="22"/>
        </w:rPr>
        <w:t>Subpart MM</w:t>
      </w:r>
      <w:r w:rsidR="009971D4" w:rsidRPr="00680273">
        <w:rPr>
          <w:color w:val="0D0D0D"/>
          <w:sz w:val="22"/>
        </w:rPr>
        <w:t xml:space="preserve"> - </w:t>
      </w:r>
      <w:r w:rsidR="001C4EF8" w:rsidRPr="00680273">
        <w:rPr>
          <w:color w:val="0D0D0D"/>
          <w:sz w:val="22"/>
        </w:rPr>
        <w:t>Standards of Performance for Auto</w:t>
      </w:r>
      <w:r w:rsidR="002E5CDD" w:rsidRPr="00680273">
        <w:rPr>
          <w:color w:val="0D0D0D"/>
          <w:sz w:val="22"/>
        </w:rPr>
        <w:t>mobile and</w:t>
      </w:r>
      <w:r w:rsidR="001C4EF8" w:rsidRPr="00680273">
        <w:rPr>
          <w:color w:val="0D0D0D"/>
          <w:sz w:val="22"/>
        </w:rPr>
        <w:t xml:space="preserve"> Light </w:t>
      </w:r>
      <w:r w:rsidR="002E5CDD" w:rsidRPr="00680273">
        <w:rPr>
          <w:color w:val="0D0D0D"/>
          <w:sz w:val="22"/>
        </w:rPr>
        <w:t xml:space="preserve">Duty </w:t>
      </w:r>
      <w:r w:rsidR="001C4EF8" w:rsidRPr="00680273">
        <w:rPr>
          <w:color w:val="0D0D0D"/>
          <w:sz w:val="22"/>
        </w:rPr>
        <w:t>Truck Surface Coating Operations.</w:t>
      </w:r>
    </w:p>
    <w:p w14:paraId="496F1A54" w14:textId="77777777" w:rsidR="00E870ED" w:rsidRPr="00680273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4651F6A9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9B7291" w:rsidRPr="009C5BBE">
        <w:rPr>
          <w:color w:val="0D0D0D"/>
          <w:sz w:val="22"/>
        </w:rPr>
        <w:t>50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NN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Phosphate Rock Plants.</w:t>
      </w:r>
    </w:p>
    <w:p w14:paraId="51708BAF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65AB8DB1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lastRenderedPageBreak/>
        <w:t>(</w:t>
      </w:r>
      <w:r w:rsidR="009B7291" w:rsidRPr="009C5BBE">
        <w:rPr>
          <w:color w:val="0D0D0D"/>
          <w:sz w:val="22"/>
        </w:rPr>
        <w:t>51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PP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Ammonium Sulfate Manufacture.</w:t>
      </w:r>
    </w:p>
    <w:p w14:paraId="0167A655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0064B4FE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EC21DF" w:rsidRPr="009C5BBE">
        <w:rPr>
          <w:color w:val="0D0D0D"/>
          <w:sz w:val="22"/>
        </w:rPr>
        <w:t>5</w:t>
      </w:r>
      <w:r w:rsidR="009B7291" w:rsidRPr="009C5BBE">
        <w:rPr>
          <w:color w:val="0D0D0D"/>
          <w:sz w:val="22"/>
        </w:rPr>
        <w:t>2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</w:t>
      </w:r>
      <w:r>
        <w:rPr>
          <w:sz w:val="22"/>
        </w:rPr>
        <w:t xml:space="preserve"> QQ</w:t>
      </w:r>
      <w:r w:rsidR="009971D4">
        <w:rPr>
          <w:sz w:val="22"/>
        </w:rPr>
        <w:t xml:space="preserve"> - </w:t>
      </w:r>
      <w:r>
        <w:rPr>
          <w:sz w:val="22"/>
        </w:rPr>
        <w:t xml:space="preserve">Standards of Performance for </w:t>
      </w:r>
      <w:r w:rsidR="002E5CDD">
        <w:rPr>
          <w:sz w:val="22"/>
        </w:rPr>
        <w:t xml:space="preserve">the </w:t>
      </w:r>
      <w:r>
        <w:rPr>
          <w:sz w:val="22"/>
        </w:rPr>
        <w:t>Graphic Arts Industry:</w:t>
      </w:r>
      <w:r w:rsidR="002E5CDD">
        <w:rPr>
          <w:sz w:val="22"/>
        </w:rPr>
        <w:t xml:space="preserve"> </w:t>
      </w:r>
      <w:r>
        <w:rPr>
          <w:sz w:val="22"/>
        </w:rPr>
        <w:t>Publication Rotogravure Printing.</w:t>
      </w:r>
    </w:p>
    <w:p w14:paraId="32802AE6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9FA887D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EC21DF" w:rsidRPr="009C5BBE">
        <w:rPr>
          <w:color w:val="0D0D0D"/>
          <w:sz w:val="22"/>
        </w:rPr>
        <w:t>5</w:t>
      </w:r>
      <w:r w:rsidR="009B7291" w:rsidRPr="009C5BBE">
        <w:rPr>
          <w:color w:val="0D0D0D"/>
          <w:sz w:val="22"/>
        </w:rPr>
        <w:t>3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sz w:val="22"/>
        </w:rPr>
        <w:t>Subpart RR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Pressure Sensitive Tape and Label Surface Coating Operations.</w:t>
      </w:r>
    </w:p>
    <w:p w14:paraId="1B530A11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BB5DBF5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(5</w:t>
      </w:r>
      <w:r w:rsidR="009B7291" w:rsidRPr="009C5BBE">
        <w:rPr>
          <w:color w:val="0D0D0D"/>
          <w:sz w:val="22"/>
        </w:rPr>
        <w:t>4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SS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</w:t>
      </w:r>
      <w:r w:rsidR="002E5CDD" w:rsidRPr="009C5BBE">
        <w:rPr>
          <w:sz w:val="22"/>
        </w:rPr>
        <w:t xml:space="preserve">Industrial </w:t>
      </w:r>
      <w:r w:rsidRPr="009C5BBE">
        <w:rPr>
          <w:sz w:val="22"/>
        </w:rPr>
        <w:t>Surface Coating: Large Appliances.</w:t>
      </w:r>
    </w:p>
    <w:p w14:paraId="6AC41F2B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00EC944F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(5</w:t>
      </w:r>
      <w:r w:rsidR="009B7291" w:rsidRPr="009C5BBE">
        <w:rPr>
          <w:color w:val="0D0D0D"/>
          <w:sz w:val="22"/>
        </w:rPr>
        <w:t>5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FF0000"/>
          <w:sz w:val="22"/>
        </w:rPr>
        <w:tab/>
      </w:r>
      <w:r w:rsidRPr="009C5BBE">
        <w:rPr>
          <w:sz w:val="22"/>
        </w:rPr>
        <w:t>Subpart TT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Metal Coil Surface Coating.</w:t>
      </w:r>
    </w:p>
    <w:p w14:paraId="0F024C88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663EA8DD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(5</w:t>
      </w:r>
      <w:r w:rsidR="00577BEA" w:rsidRPr="009C5BBE">
        <w:rPr>
          <w:color w:val="0D0D0D"/>
          <w:sz w:val="22"/>
        </w:rPr>
        <w:t>6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UU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 Asphalt Processing and Asphalt Roofing Manufacture.</w:t>
      </w:r>
    </w:p>
    <w:p w14:paraId="0CE1191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28D4235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(5</w:t>
      </w:r>
      <w:r w:rsidR="00577BEA" w:rsidRPr="009C5BBE">
        <w:rPr>
          <w:color w:val="0D0D0D"/>
          <w:sz w:val="22"/>
        </w:rPr>
        <w:t>7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VV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Equipment Leaks of VOC in the Synthetic Organic Chemicals Manufacturing Industry </w:t>
      </w:r>
      <w:r w:rsidR="002E5CDD" w:rsidRPr="009C5BBE">
        <w:rPr>
          <w:sz w:val="22"/>
        </w:rPr>
        <w:t>for which Construction, Reconstruction, or Modification Commenced After January</w:t>
      </w:r>
      <w:r w:rsidR="00577BEA" w:rsidRPr="009C5BBE">
        <w:rPr>
          <w:sz w:val="22"/>
        </w:rPr>
        <w:t xml:space="preserve"> </w:t>
      </w:r>
      <w:r w:rsidR="002E5CDD" w:rsidRPr="009C5BBE">
        <w:rPr>
          <w:sz w:val="22"/>
        </w:rPr>
        <w:t>5, 1981, and on or Before November 7, 2006</w:t>
      </w:r>
      <w:r w:rsidRPr="009C5BBE">
        <w:rPr>
          <w:sz w:val="22"/>
        </w:rPr>
        <w:t>.</w:t>
      </w:r>
    </w:p>
    <w:p w14:paraId="7031A878" w14:textId="77777777" w:rsidR="00577BEA" w:rsidRPr="009C5BBE" w:rsidRDefault="00577BEA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3C18ECCB" w14:textId="77777777" w:rsidR="00577BEA" w:rsidRPr="009C5BBE" w:rsidRDefault="00577BEA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  <w:szCs w:val="22"/>
        </w:rPr>
      </w:pPr>
      <w:r w:rsidRPr="009C5BBE">
        <w:rPr>
          <w:color w:val="0D0D0D"/>
          <w:sz w:val="22"/>
        </w:rPr>
        <w:t>(58)</w:t>
      </w:r>
      <w:r w:rsidRPr="009C5BBE">
        <w:rPr>
          <w:color w:val="0D0D0D"/>
          <w:sz w:val="22"/>
        </w:rPr>
        <w:tab/>
        <w:t xml:space="preserve">Subpart </w:t>
      </w:r>
      <w:proofErr w:type="spellStart"/>
      <w:r w:rsidRPr="009C5BBE">
        <w:rPr>
          <w:color w:val="0D0D0D"/>
          <w:sz w:val="22"/>
          <w:szCs w:val="22"/>
        </w:rPr>
        <w:t>VVa</w:t>
      </w:r>
      <w:proofErr w:type="spellEnd"/>
      <w:r w:rsidRPr="009C5BBE">
        <w:rPr>
          <w:color w:val="0D0D0D"/>
          <w:sz w:val="22"/>
          <w:szCs w:val="22"/>
        </w:rPr>
        <w:t xml:space="preserve"> - Standards of Performance for Equipment Leaks of VOC in the Synthetic Organic Chemicals Manufacturing Industry for Which Construction, Reconstruction, or Modification Commenced After November 7, 2006</w:t>
      </w:r>
    </w:p>
    <w:p w14:paraId="2341027D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1009279E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(5</w:t>
      </w:r>
      <w:r w:rsidR="00577BEA" w:rsidRPr="009C5BBE">
        <w:rPr>
          <w:color w:val="0D0D0D"/>
          <w:sz w:val="22"/>
        </w:rPr>
        <w:t>9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WW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 xml:space="preserve">Standards of Performance for </w:t>
      </w:r>
      <w:r w:rsidR="002E5CDD" w:rsidRPr="009C5BBE">
        <w:rPr>
          <w:color w:val="0D0D0D"/>
          <w:sz w:val="22"/>
        </w:rPr>
        <w:t xml:space="preserve">the </w:t>
      </w:r>
      <w:r w:rsidRPr="009C5BBE">
        <w:rPr>
          <w:color w:val="0D0D0D"/>
          <w:sz w:val="22"/>
        </w:rPr>
        <w:t>Beverage Can Surface Coating Industry.</w:t>
      </w:r>
    </w:p>
    <w:p w14:paraId="4A418056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4DE535F6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577BEA" w:rsidRPr="009C5BBE">
        <w:rPr>
          <w:color w:val="0D0D0D"/>
          <w:sz w:val="22"/>
        </w:rPr>
        <w:t>60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XX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Bulk Gasoline Terminals.</w:t>
      </w:r>
    </w:p>
    <w:p w14:paraId="6D540C96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4C73B7C0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211E3C" w:rsidRPr="009C5BBE">
        <w:rPr>
          <w:color w:val="0D0D0D"/>
          <w:sz w:val="22"/>
        </w:rPr>
        <w:t>61</w:t>
      </w:r>
      <w:r w:rsidR="00E870ED" w:rsidRPr="009C5BBE">
        <w:rPr>
          <w:color w:val="0D0D0D"/>
          <w:sz w:val="22"/>
        </w:rPr>
        <w:t>)</w:t>
      </w:r>
      <w:r w:rsid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BBB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</w:t>
      </w:r>
      <w:r w:rsidR="002E5CDD" w:rsidRPr="009C5BBE">
        <w:rPr>
          <w:color w:val="0D0D0D"/>
          <w:sz w:val="22"/>
        </w:rPr>
        <w:t xml:space="preserve"> the</w:t>
      </w:r>
      <w:r w:rsidRPr="009C5BBE">
        <w:rPr>
          <w:color w:val="0D0D0D"/>
          <w:sz w:val="22"/>
        </w:rPr>
        <w:t xml:space="preserve"> Rubber Tire Manufacturing Industry.</w:t>
      </w:r>
    </w:p>
    <w:p w14:paraId="0E5D11E7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23847388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211E3C" w:rsidRPr="009C5BBE">
        <w:rPr>
          <w:color w:val="0D0D0D"/>
          <w:sz w:val="22"/>
        </w:rPr>
        <w:t>62</w:t>
      </w:r>
      <w:r w:rsidR="00E870ED" w:rsidRPr="009C5BBE">
        <w:rPr>
          <w:color w:val="0D0D0D"/>
          <w:sz w:val="22"/>
        </w:rPr>
        <w:t>)</w:t>
      </w:r>
      <w:r w:rsid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DDD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</w:t>
      </w:r>
      <w:r w:rsidR="00E870ED" w:rsidRPr="009C5BBE">
        <w:rPr>
          <w:color w:val="0D0D0D"/>
          <w:sz w:val="22"/>
        </w:rPr>
        <w:t xml:space="preserve"> </w:t>
      </w:r>
      <w:r w:rsidRPr="009C5BBE">
        <w:rPr>
          <w:color w:val="0D0D0D"/>
          <w:sz w:val="22"/>
        </w:rPr>
        <w:t xml:space="preserve">Volatile Organic Compound (VOC) Emissions from </w:t>
      </w:r>
      <w:r w:rsidR="002E5CDD" w:rsidRPr="009C5BBE">
        <w:rPr>
          <w:color w:val="0D0D0D"/>
          <w:sz w:val="22"/>
        </w:rPr>
        <w:t xml:space="preserve">the </w:t>
      </w:r>
      <w:r w:rsidRPr="009C5BBE">
        <w:rPr>
          <w:color w:val="0D0D0D"/>
          <w:sz w:val="22"/>
        </w:rPr>
        <w:t>Polymer Manufacturing Industry.</w:t>
      </w:r>
    </w:p>
    <w:p w14:paraId="2B50ED1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5AA56107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EC21DF" w:rsidRPr="009C5BBE">
        <w:rPr>
          <w:color w:val="0D0D0D"/>
          <w:sz w:val="22"/>
        </w:rPr>
        <w:t>6</w:t>
      </w:r>
      <w:r w:rsidR="00211E3C" w:rsidRPr="009C5BBE">
        <w:rPr>
          <w:color w:val="0D0D0D"/>
          <w:sz w:val="22"/>
        </w:rPr>
        <w:t>3</w:t>
      </w:r>
      <w:r w:rsidR="00E870ED" w:rsidRPr="009C5BBE">
        <w:rPr>
          <w:color w:val="0D0D0D"/>
          <w:sz w:val="22"/>
        </w:rPr>
        <w:t>)</w:t>
      </w:r>
      <w:r w:rsid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FFF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Flexible Vinyl and Urethane Coating and Printing.</w:t>
      </w:r>
    </w:p>
    <w:p w14:paraId="15882E2D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246025A7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(6</w:t>
      </w:r>
      <w:r w:rsidR="00211E3C" w:rsidRPr="009C5BBE">
        <w:rPr>
          <w:color w:val="0D0D0D"/>
          <w:sz w:val="22"/>
        </w:rPr>
        <w:t>4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GGG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Equipment Leaks of</w:t>
      </w:r>
      <w:r w:rsidR="00E870ED" w:rsidRPr="009C5BBE">
        <w:rPr>
          <w:color w:val="0D0D0D"/>
          <w:sz w:val="22"/>
        </w:rPr>
        <w:t xml:space="preserve"> </w:t>
      </w:r>
      <w:r w:rsidRPr="009C5BBE">
        <w:rPr>
          <w:color w:val="0D0D0D"/>
          <w:sz w:val="22"/>
        </w:rPr>
        <w:t xml:space="preserve">VOC </w:t>
      </w:r>
      <w:r w:rsidR="00C004D6" w:rsidRPr="009C5BBE">
        <w:rPr>
          <w:color w:val="0D0D0D"/>
          <w:sz w:val="22"/>
        </w:rPr>
        <w:t xml:space="preserve">in </w:t>
      </w:r>
      <w:r w:rsidRPr="009C5BBE">
        <w:rPr>
          <w:color w:val="0D0D0D"/>
          <w:sz w:val="22"/>
        </w:rPr>
        <w:t>Petroleum Refineries</w:t>
      </w:r>
      <w:r w:rsidR="00C004D6" w:rsidRPr="009C5BBE">
        <w:rPr>
          <w:color w:val="0D0D0D"/>
          <w:sz w:val="22"/>
        </w:rPr>
        <w:t xml:space="preserve"> for which Construction, Reconstruction, or Modification Commenced After January 4, 1983, and on or Before November 7, 2006</w:t>
      </w:r>
      <w:r w:rsidRPr="009C5BBE">
        <w:rPr>
          <w:color w:val="0D0D0D"/>
          <w:sz w:val="22"/>
        </w:rPr>
        <w:t>.</w:t>
      </w:r>
    </w:p>
    <w:p w14:paraId="17913F14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3A2D99B7" w14:textId="77777777" w:rsidR="00211E3C" w:rsidRPr="009C5BBE" w:rsidRDefault="00211E3C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  <w:szCs w:val="22"/>
        </w:rPr>
      </w:pPr>
      <w:r w:rsidRPr="009C5BBE">
        <w:rPr>
          <w:color w:val="0D0D0D"/>
          <w:sz w:val="22"/>
        </w:rPr>
        <w:t xml:space="preserve">(65) </w:t>
      </w:r>
      <w:r w:rsidRPr="009C5BBE">
        <w:rPr>
          <w:color w:val="0D0D0D"/>
          <w:sz w:val="22"/>
        </w:rPr>
        <w:tab/>
      </w:r>
      <w:r w:rsidRPr="009C5BBE">
        <w:rPr>
          <w:color w:val="0D0D0D"/>
          <w:sz w:val="22"/>
          <w:szCs w:val="22"/>
        </w:rPr>
        <w:t xml:space="preserve">Subpart </w:t>
      </w:r>
      <w:proofErr w:type="spellStart"/>
      <w:r w:rsidRPr="009C5BBE">
        <w:rPr>
          <w:color w:val="0D0D0D"/>
          <w:sz w:val="22"/>
          <w:szCs w:val="22"/>
        </w:rPr>
        <w:t>GGGa</w:t>
      </w:r>
      <w:proofErr w:type="spellEnd"/>
      <w:r w:rsidRPr="009C5BBE">
        <w:rPr>
          <w:color w:val="0D0D0D"/>
          <w:sz w:val="22"/>
          <w:szCs w:val="22"/>
        </w:rPr>
        <w:t>—Standards of Performance for Equipment Leaks of VOC in Petroleum Refineries for Which Construction, Reconstruction, or Modification Commenced After November 7, 2006.</w:t>
      </w:r>
    </w:p>
    <w:p w14:paraId="026EC4D8" w14:textId="77777777" w:rsidR="00211E3C" w:rsidRPr="009C5BBE" w:rsidRDefault="00211E3C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6E825142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(6</w:t>
      </w:r>
      <w:r w:rsidR="00211E3C" w:rsidRPr="009C5BBE">
        <w:rPr>
          <w:color w:val="0D0D0D"/>
          <w:sz w:val="22"/>
        </w:rPr>
        <w:t>6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HHH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Synthetic Fiber Production Facilities.</w:t>
      </w:r>
    </w:p>
    <w:p w14:paraId="18743310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3CD7AE60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(6</w:t>
      </w:r>
      <w:r w:rsidR="00211E3C" w:rsidRPr="009C5BBE">
        <w:rPr>
          <w:color w:val="0D0D0D"/>
          <w:sz w:val="22"/>
        </w:rPr>
        <w:t>7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III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</w:t>
      </w:r>
      <w:r w:rsidRPr="009C5BBE">
        <w:rPr>
          <w:sz w:val="22"/>
        </w:rPr>
        <w:t xml:space="preserve"> of Performance for</w:t>
      </w:r>
      <w:r w:rsidR="00E870ED" w:rsidRPr="009C5BBE">
        <w:rPr>
          <w:sz w:val="22"/>
        </w:rPr>
        <w:t xml:space="preserve"> </w:t>
      </w:r>
      <w:r w:rsidRPr="009C5BBE">
        <w:rPr>
          <w:sz w:val="22"/>
        </w:rPr>
        <w:t xml:space="preserve">Volatile Organic </w:t>
      </w:r>
      <w:r w:rsidR="00C004D6" w:rsidRPr="009C5BBE">
        <w:rPr>
          <w:sz w:val="22"/>
        </w:rPr>
        <w:t xml:space="preserve">Compound </w:t>
      </w:r>
      <w:r w:rsidRPr="009C5BBE">
        <w:rPr>
          <w:sz w:val="22"/>
        </w:rPr>
        <w:t xml:space="preserve">(VOC) Emissions from </w:t>
      </w:r>
      <w:r w:rsidR="00C004D6" w:rsidRPr="009C5BBE">
        <w:rPr>
          <w:sz w:val="22"/>
        </w:rPr>
        <w:t xml:space="preserve">the </w:t>
      </w:r>
      <w:r w:rsidRPr="009C5BBE">
        <w:rPr>
          <w:sz w:val="22"/>
        </w:rPr>
        <w:t xml:space="preserve">Synthetic Organic Chemical </w:t>
      </w:r>
      <w:r w:rsidR="00C004D6" w:rsidRPr="009C5BBE">
        <w:rPr>
          <w:sz w:val="22"/>
        </w:rPr>
        <w:t xml:space="preserve">Manufacturing </w:t>
      </w:r>
      <w:r w:rsidRPr="009C5BBE">
        <w:rPr>
          <w:sz w:val="22"/>
        </w:rPr>
        <w:t>Industry (SOCMI) Air Oxidation Unit Processes.</w:t>
      </w:r>
    </w:p>
    <w:p w14:paraId="3949703E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163CC6B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lastRenderedPageBreak/>
        <w:t>(6</w:t>
      </w:r>
      <w:r w:rsidR="00211E3C" w:rsidRPr="009C5BBE">
        <w:rPr>
          <w:color w:val="0D0D0D"/>
          <w:sz w:val="22"/>
        </w:rPr>
        <w:t>8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JJJ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Petroleum Dry Cleaners.</w:t>
      </w:r>
    </w:p>
    <w:p w14:paraId="7CA6132A" w14:textId="77777777" w:rsidR="00E870ED" w:rsidRPr="00680273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0A3A1A7D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(6</w:t>
      </w:r>
      <w:r w:rsidR="004371D7" w:rsidRPr="009C5BBE">
        <w:rPr>
          <w:color w:val="0D0D0D"/>
          <w:sz w:val="22"/>
        </w:rPr>
        <w:t>9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KKK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Equipment Leaks of VOC</w:t>
      </w:r>
      <w:r w:rsidR="00C004D6" w:rsidRPr="009C5BBE">
        <w:rPr>
          <w:color w:val="0D0D0D"/>
          <w:sz w:val="22"/>
        </w:rPr>
        <w:t xml:space="preserve"> From </w:t>
      </w:r>
      <w:r w:rsidRPr="009C5BBE">
        <w:rPr>
          <w:color w:val="0D0D0D"/>
          <w:sz w:val="22"/>
        </w:rPr>
        <w:t>Onshore Natural Gas Processing Plants</w:t>
      </w:r>
      <w:r w:rsidR="00C004D6" w:rsidRPr="009C5BBE">
        <w:rPr>
          <w:color w:val="0D0D0D"/>
          <w:sz w:val="22"/>
        </w:rPr>
        <w:t xml:space="preserve"> for Which Construction, Reconstruction, or Modification Commenced After January 20, 1984, and on or Before August 23, 2011</w:t>
      </w:r>
      <w:r w:rsidRPr="009C5BBE">
        <w:rPr>
          <w:color w:val="0D0D0D"/>
          <w:sz w:val="22"/>
        </w:rPr>
        <w:t>.</w:t>
      </w:r>
    </w:p>
    <w:p w14:paraId="7216D3FF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70CFCC61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4371D7" w:rsidRPr="009C5BBE">
        <w:rPr>
          <w:color w:val="0D0D0D"/>
          <w:sz w:val="22"/>
        </w:rPr>
        <w:t>70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LLL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 xml:space="preserve">Standards of Performance for </w:t>
      </w:r>
      <w:r w:rsidR="00C004D6" w:rsidRPr="009C5BBE">
        <w:rPr>
          <w:color w:val="0D0D0D"/>
          <w:sz w:val="22"/>
        </w:rPr>
        <w:t>S</w:t>
      </w:r>
      <w:r w:rsidR="00DE6A5C">
        <w:rPr>
          <w:color w:val="0D0D0D"/>
          <w:sz w:val="22"/>
        </w:rPr>
        <w:t>O</w:t>
      </w:r>
      <w:r w:rsidR="00DE6A5C" w:rsidRPr="00DE6A5C">
        <w:rPr>
          <w:color w:val="0D0D0D"/>
          <w:sz w:val="22"/>
          <w:vertAlign w:val="subscript"/>
        </w:rPr>
        <w:t>2</w:t>
      </w:r>
      <w:r w:rsidR="00DE6A5C">
        <w:rPr>
          <w:color w:val="0D0D0D"/>
          <w:sz w:val="22"/>
        </w:rPr>
        <w:t xml:space="preserve"> </w:t>
      </w:r>
      <w:r w:rsidR="00C004D6" w:rsidRPr="009C5BBE">
        <w:rPr>
          <w:color w:val="0D0D0D"/>
          <w:sz w:val="22"/>
        </w:rPr>
        <w:t xml:space="preserve">Emissions From </w:t>
      </w:r>
      <w:r w:rsidRPr="009C5BBE">
        <w:rPr>
          <w:color w:val="0D0D0D"/>
          <w:sz w:val="22"/>
        </w:rPr>
        <w:t>Onshore Natural Gas Processing</w:t>
      </w:r>
      <w:r w:rsidR="00C004D6" w:rsidRPr="009C5BBE">
        <w:rPr>
          <w:color w:val="0D0D0D"/>
          <w:sz w:val="22"/>
        </w:rPr>
        <w:t xml:space="preserve"> for Which Construction, Reconstruction, or Modification Commenced After January 20, 1984, and on or Before August 23, 2011</w:t>
      </w:r>
      <w:r w:rsidRPr="009C5BBE">
        <w:rPr>
          <w:color w:val="0D0D0D"/>
          <w:sz w:val="22"/>
        </w:rPr>
        <w:t>.</w:t>
      </w:r>
    </w:p>
    <w:p w14:paraId="6EE0910F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3829D4FA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4371D7" w:rsidRPr="009C5BBE">
        <w:rPr>
          <w:color w:val="0D0D0D"/>
          <w:sz w:val="22"/>
        </w:rPr>
        <w:t>71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NNN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Volatile Organic Compound (VOC) Emissions</w:t>
      </w:r>
      <w:r w:rsidR="00E870ED" w:rsidRPr="009C5BBE">
        <w:rPr>
          <w:color w:val="0D0D0D"/>
          <w:sz w:val="22"/>
        </w:rPr>
        <w:t xml:space="preserve"> </w:t>
      </w:r>
      <w:r w:rsidRPr="009C5BBE">
        <w:rPr>
          <w:color w:val="0D0D0D"/>
          <w:sz w:val="22"/>
        </w:rPr>
        <w:t>from Synthetic Organic Chemical Manufacturing Industry (SOCMI) Distillation Operations.</w:t>
      </w:r>
    </w:p>
    <w:p w14:paraId="37DC3D48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1727D16B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4371D7" w:rsidRPr="009C5BBE">
        <w:rPr>
          <w:color w:val="0D0D0D"/>
          <w:sz w:val="22"/>
        </w:rPr>
        <w:t>72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OOO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Nonmetallic Mineral Processing Plants.</w:t>
      </w:r>
    </w:p>
    <w:p w14:paraId="6D99BCAD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3DE82BA3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  <w:r w:rsidRPr="009C5BBE">
        <w:rPr>
          <w:color w:val="0D0D0D"/>
          <w:sz w:val="22"/>
        </w:rPr>
        <w:t>(</w:t>
      </w:r>
      <w:r w:rsidR="004371D7" w:rsidRPr="009C5BBE">
        <w:rPr>
          <w:color w:val="0D0D0D"/>
          <w:sz w:val="22"/>
        </w:rPr>
        <w:t>73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 QQQ</w:t>
      </w:r>
      <w:r w:rsidR="009971D4" w:rsidRPr="009C5BBE">
        <w:rPr>
          <w:color w:val="0D0D0D"/>
          <w:sz w:val="22"/>
        </w:rPr>
        <w:t xml:space="preserve"> - </w:t>
      </w:r>
      <w:r w:rsidRPr="009C5BBE">
        <w:rPr>
          <w:color w:val="0D0D0D"/>
          <w:sz w:val="22"/>
        </w:rPr>
        <w:t>Standards of Performance for VOC Emissions from Petroleum Refinery Wastewater Systems.</w:t>
      </w:r>
    </w:p>
    <w:p w14:paraId="0EDEF08C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19BEE6A8" w14:textId="77777777" w:rsidR="00E870ED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</w:t>
      </w:r>
      <w:r w:rsidR="00EC21DF" w:rsidRPr="009C5BBE">
        <w:rPr>
          <w:color w:val="0D0D0D"/>
          <w:sz w:val="22"/>
        </w:rPr>
        <w:t>7</w:t>
      </w:r>
      <w:r w:rsidR="004371D7" w:rsidRPr="009C5BBE">
        <w:rPr>
          <w:color w:val="0D0D0D"/>
          <w:sz w:val="22"/>
        </w:rPr>
        <w:t>4</w:t>
      </w:r>
      <w:r w:rsidR="00E870ED" w:rsidRPr="009C5BBE">
        <w:rPr>
          <w:color w:val="0D0D0D"/>
          <w:sz w:val="22"/>
        </w:rPr>
        <w:t>)</w:t>
      </w:r>
      <w:r w:rsidR="009C5BBE" w:rsidRPr="009C5BBE">
        <w:rPr>
          <w:color w:val="0D0D0D"/>
          <w:sz w:val="22"/>
        </w:rPr>
        <w:tab/>
      </w:r>
      <w:r w:rsidRPr="009C5BBE">
        <w:rPr>
          <w:color w:val="0D0D0D"/>
          <w:sz w:val="22"/>
        </w:rPr>
        <w:t>Subpart</w:t>
      </w:r>
      <w:r w:rsidR="00E870ED" w:rsidRPr="009C5BBE">
        <w:rPr>
          <w:color w:val="0D0D0D"/>
          <w:sz w:val="22"/>
        </w:rPr>
        <w:t xml:space="preserve"> </w:t>
      </w:r>
      <w:r w:rsidRPr="009C5BBE">
        <w:rPr>
          <w:color w:val="0D0D0D"/>
          <w:sz w:val="22"/>
        </w:rPr>
        <w:t>SSS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>Standards of Performance for</w:t>
      </w:r>
      <w:r w:rsidR="00E870ED" w:rsidRPr="009C5BBE">
        <w:rPr>
          <w:sz w:val="22"/>
        </w:rPr>
        <w:t xml:space="preserve"> </w:t>
      </w:r>
      <w:r w:rsidRPr="009C5BBE">
        <w:rPr>
          <w:sz w:val="22"/>
        </w:rPr>
        <w:t>Magnetic Tape Coating Facilities.</w:t>
      </w:r>
    </w:p>
    <w:p w14:paraId="4BA36C8F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7888642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(7</w:t>
      </w:r>
      <w:r w:rsidR="004371D7" w:rsidRPr="009C5BBE">
        <w:rPr>
          <w:color w:val="0D0D0D"/>
          <w:sz w:val="22"/>
        </w:rPr>
        <w:t>5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TTT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</w:t>
      </w:r>
      <w:r w:rsidR="00C004D6" w:rsidRPr="009C5BBE">
        <w:rPr>
          <w:sz w:val="22"/>
        </w:rPr>
        <w:t xml:space="preserve">Industrial </w:t>
      </w:r>
      <w:r w:rsidRPr="009C5BBE">
        <w:rPr>
          <w:sz w:val="22"/>
        </w:rPr>
        <w:t>Surface Coating:</w:t>
      </w:r>
      <w:r w:rsidR="00E870ED" w:rsidRPr="009C5BBE">
        <w:rPr>
          <w:sz w:val="22"/>
        </w:rPr>
        <w:t xml:space="preserve"> </w:t>
      </w:r>
      <w:r w:rsidRPr="009C5BBE">
        <w:rPr>
          <w:sz w:val="22"/>
        </w:rPr>
        <w:t>Surface Coating of Plastic Parts for Business Machines.</w:t>
      </w:r>
    </w:p>
    <w:p w14:paraId="2B9389CA" w14:textId="77777777" w:rsidR="00E870ED" w:rsidRPr="009C5BBE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5619CEDE" w14:textId="77777777" w:rsidR="001C4EF8" w:rsidRPr="009C5BBE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9C5BBE">
        <w:rPr>
          <w:color w:val="0D0D0D"/>
          <w:sz w:val="22"/>
        </w:rPr>
        <w:t>(7</w:t>
      </w:r>
      <w:r w:rsidR="004371D7" w:rsidRPr="009C5BBE">
        <w:rPr>
          <w:color w:val="0D0D0D"/>
          <w:sz w:val="22"/>
        </w:rPr>
        <w:t>6</w:t>
      </w:r>
      <w:r w:rsidR="00E870ED" w:rsidRPr="009C5BBE">
        <w:rPr>
          <w:color w:val="0D0D0D"/>
          <w:sz w:val="22"/>
        </w:rPr>
        <w:t>)</w:t>
      </w:r>
      <w:r w:rsidR="00E870ED" w:rsidRPr="009C5BBE">
        <w:rPr>
          <w:sz w:val="22"/>
        </w:rPr>
        <w:tab/>
      </w:r>
      <w:r w:rsidRPr="009C5BBE">
        <w:rPr>
          <w:sz w:val="22"/>
        </w:rPr>
        <w:t>Subpart UUU</w:t>
      </w:r>
      <w:r w:rsidR="009971D4" w:rsidRPr="009C5BBE">
        <w:rPr>
          <w:sz w:val="22"/>
        </w:rPr>
        <w:t xml:space="preserve"> - </w:t>
      </w:r>
      <w:r w:rsidRPr="009C5BBE">
        <w:rPr>
          <w:sz w:val="22"/>
        </w:rPr>
        <w:t xml:space="preserve">Standards of Performance for Calciners </w:t>
      </w:r>
      <w:r w:rsidR="00AB013B" w:rsidRPr="009C5BBE">
        <w:rPr>
          <w:sz w:val="22"/>
        </w:rPr>
        <w:t xml:space="preserve">and </w:t>
      </w:r>
      <w:r w:rsidRPr="009C5BBE">
        <w:rPr>
          <w:sz w:val="22"/>
        </w:rPr>
        <w:t>Dryers in Mineral Industries.</w:t>
      </w:r>
    </w:p>
    <w:p w14:paraId="3721F53D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2CC9EFCA" w14:textId="77777777" w:rsidR="001C4EF8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680273">
        <w:rPr>
          <w:color w:val="0D0D0D"/>
          <w:sz w:val="22"/>
        </w:rPr>
        <w:t>(7</w:t>
      </w:r>
      <w:r w:rsidR="004371D7" w:rsidRPr="00680273">
        <w:rPr>
          <w:color w:val="0D0D0D"/>
          <w:sz w:val="22"/>
        </w:rPr>
        <w:t>7</w:t>
      </w:r>
      <w:r w:rsidR="00E870ED" w:rsidRPr="00680273">
        <w:rPr>
          <w:color w:val="0D0D0D"/>
          <w:sz w:val="22"/>
        </w:rPr>
        <w:t>)</w:t>
      </w:r>
      <w:r w:rsidR="00E870ED">
        <w:rPr>
          <w:sz w:val="22"/>
        </w:rPr>
        <w:tab/>
      </w:r>
      <w:r>
        <w:rPr>
          <w:sz w:val="22"/>
        </w:rPr>
        <w:t>Subpart VVV</w:t>
      </w:r>
      <w:r w:rsidR="009971D4">
        <w:rPr>
          <w:sz w:val="22"/>
        </w:rPr>
        <w:t xml:space="preserve"> - </w:t>
      </w:r>
      <w:r>
        <w:rPr>
          <w:sz w:val="22"/>
        </w:rPr>
        <w:t>Standards of Performance for Polymeric Coating of Supporting Substrates Facilities.</w:t>
      </w:r>
    </w:p>
    <w:p w14:paraId="5A00EEEC" w14:textId="77777777" w:rsidR="00E870ED" w:rsidRDefault="00E870ED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70DACC11" w14:textId="77777777" w:rsidR="00E870ED" w:rsidRDefault="00FC2067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680273">
        <w:rPr>
          <w:color w:val="0D0D0D"/>
          <w:sz w:val="22"/>
        </w:rPr>
        <w:t>(</w:t>
      </w:r>
      <w:r w:rsidR="001C4EF8" w:rsidRPr="00680273">
        <w:rPr>
          <w:color w:val="0D0D0D"/>
          <w:sz w:val="22"/>
        </w:rPr>
        <w:t>7</w:t>
      </w:r>
      <w:r w:rsidR="004371D7" w:rsidRPr="00680273">
        <w:rPr>
          <w:color w:val="0D0D0D"/>
          <w:sz w:val="22"/>
        </w:rPr>
        <w:t>8</w:t>
      </w:r>
      <w:r w:rsidR="00E870ED" w:rsidRPr="00680273">
        <w:rPr>
          <w:color w:val="0D0D0D"/>
          <w:sz w:val="22"/>
        </w:rPr>
        <w:t>)</w:t>
      </w:r>
      <w:r w:rsidR="00E870ED">
        <w:rPr>
          <w:sz w:val="22"/>
        </w:rPr>
        <w:tab/>
      </w:r>
      <w:r w:rsidR="001C4EF8">
        <w:rPr>
          <w:sz w:val="22"/>
        </w:rPr>
        <w:t>Subpart WWW</w:t>
      </w:r>
      <w:r w:rsidR="009971D4">
        <w:rPr>
          <w:sz w:val="22"/>
        </w:rPr>
        <w:t xml:space="preserve"> - </w:t>
      </w:r>
      <w:r w:rsidR="001C4EF8">
        <w:rPr>
          <w:sz w:val="22"/>
        </w:rPr>
        <w:t>Standards of Performance for Municipal Solid</w:t>
      </w:r>
      <w:r w:rsidR="005B4320">
        <w:rPr>
          <w:sz w:val="22"/>
        </w:rPr>
        <w:t xml:space="preserve"> </w:t>
      </w:r>
      <w:r w:rsidR="001C4EF8">
        <w:rPr>
          <w:sz w:val="22"/>
        </w:rPr>
        <w:t>Waste Landfills</w:t>
      </w:r>
      <w:r w:rsidR="00AB013B">
        <w:rPr>
          <w:sz w:val="22"/>
        </w:rPr>
        <w:t xml:space="preserve"> </w:t>
      </w:r>
      <w:r w:rsidR="00AB013B" w:rsidRPr="00AB013B">
        <w:rPr>
          <w:sz w:val="22"/>
        </w:rPr>
        <w:t>That Commenced Construction, Reconstruction, or Modification on or After May 30, 1991, but Before July 18, 2014</w:t>
      </w:r>
      <w:r w:rsidR="001C4EF8">
        <w:rPr>
          <w:sz w:val="22"/>
        </w:rPr>
        <w:t>.</w:t>
      </w:r>
    </w:p>
    <w:p w14:paraId="14D39D71" w14:textId="77777777" w:rsidR="00D15528" w:rsidRDefault="00D1552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</w:p>
    <w:p w14:paraId="154BB5DF" w14:textId="77777777" w:rsidR="00D15528" w:rsidRPr="009C5BBE" w:rsidRDefault="000F7905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  <w:szCs w:val="22"/>
        </w:rPr>
      </w:pPr>
      <w:r w:rsidRPr="00680273">
        <w:rPr>
          <w:color w:val="0D0D0D"/>
          <w:sz w:val="22"/>
        </w:rPr>
        <w:t>(7</w:t>
      </w:r>
      <w:r w:rsidR="004371D7" w:rsidRPr="00680273">
        <w:rPr>
          <w:color w:val="0D0D0D"/>
          <w:sz w:val="22"/>
        </w:rPr>
        <w:t>9</w:t>
      </w:r>
      <w:r w:rsidRPr="00680273">
        <w:rPr>
          <w:color w:val="0D0D0D"/>
          <w:sz w:val="22"/>
        </w:rPr>
        <w:t>)</w:t>
      </w:r>
      <w:r w:rsidRPr="00680273">
        <w:rPr>
          <w:color w:val="0D0D0D"/>
          <w:sz w:val="22"/>
        </w:rPr>
        <w:tab/>
      </w:r>
      <w:r w:rsidR="00D15528" w:rsidRPr="009C5BBE">
        <w:rPr>
          <w:color w:val="0D0D0D"/>
          <w:sz w:val="22"/>
        </w:rPr>
        <w:t>Subpart XXX</w:t>
      </w:r>
      <w:r w:rsidR="009971D4" w:rsidRPr="009C5BBE">
        <w:rPr>
          <w:color w:val="0D0D0D"/>
          <w:sz w:val="22"/>
        </w:rPr>
        <w:t xml:space="preserve"> - </w:t>
      </w:r>
      <w:r w:rsidR="00D15528" w:rsidRPr="009C5BBE">
        <w:rPr>
          <w:color w:val="0D0D0D"/>
          <w:sz w:val="22"/>
          <w:szCs w:val="22"/>
        </w:rPr>
        <w:t>Standards of Performance for Municipal Solid Waste Landfills That Commenced Construction, Reconstruction, or Modification After July 17, 2014.</w:t>
      </w:r>
    </w:p>
    <w:p w14:paraId="148CD9DF" w14:textId="77777777" w:rsidR="00FC2067" w:rsidRPr="00680273" w:rsidRDefault="00FC2067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0D0D0D"/>
          <w:sz w:val="22"/>
        </w:rPr>
      </w:pPr>
    </w:p>
    <w:p w14:paraId="7A8EF9C7" w14:textId="77777777" w:rsidR="001C4EF8" w:rsidRPr="00680273" w:rsidRDefault="000F7905" w:rsidP="000F790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900"/>
        <w:rPr>
          <w:color w:val="0D0D0D"/>
          <w:sz w:val="22"/>
        </w:rPr>
      </w:pPr>
      <w:r w:rsidRPr="00680273">
        <w:rPr>
          <w:color w:val="0D0D0D"/>
          <w:sz w:val="22"/>
        </w:rPr>
        <w:tab/>
        <w:t>(</w:t>
      </w:r>
      <w:r w:rsidR="00A374D1" w:rsidRPr="00680273">
        <w:rPr>
          <w:color w:val="0D0D0D"/>
          <w:sz w:val="22"/>
        </w:rPr>
        <w:t>80</w:t>
      </w:r>
      <w:r w:rsidRPr="00680273">
        <w:rPr>
          <w:color w:val="0D0D0D"/>
          <w:sz w:val="22"/>
        </w:rPr>
        <w:t>)</w:t>
      </w:r>
      <w:r w:rsidR="009C5BBE">
        <w:rPr>
          <w:color w:val="0D0D0D"/>
          <w:sz w:val="22"/>
        </w:rPr>
        <w:tab/>
      </w:r>
      <w:r w:rsidR="001C4EF8" w:rsidRPr="00680273">
        <w:rPr>
          <w:color w:val="0D0D0D"/>
          <w:sz w:val="22"/>
        </w:rPr>
        <w:t>Subpart AAAA</w:t>
      </w:r>
      <w:r w:rsidR="009971D4" w:rsidRPr="00680273">
        <w:rPr>
          <w:color w:val="0D0D0D"/>
          <w:sz w:val="22"/>
        </w:rPr>
        <w:t xml:space="preserve"> - </w:t>
      </w:r>
      <w:r w:rsidR="001C4EF8" w:rsidRPr="00680273">
        <w:rPr>
          <w:color w:val="0D0D0D"/>
          <w:sz w:val="22"/>
        </w:rPr>
        <w:t>Standards of Performance for Small Municipal Waste Combustion Units</w:t>
      </w:r>
      <w:r w:rsidR="00AB013B" w:rsidRPr="00680273">
        <w:rPr>
          <w:color w:val="0D0D0D"/>
          <w:sz w:val="22"/>
        </w:rPr>
        <w:t xml:space="preserve"> for Which Construction is Commenced After August 30, 1999 or for Which Modification or Reconstruction is Commenced After June 6, 2001</w:t>
      </w:r>
      <w:r w:rsidR="001C4EF8" w:rsidRPr="00680273">
        <w:rPr>
          <w:color w:val="0D0D0D"/>
          <w:sz w:val="22"/>
        </w:rPr>
        <w:t>.</w:t>
      </w:r>
    </w:p>
    <w:p w14:paraId="5A114938" w14:textId="77777777" w:rsidR="005B4320" w:rsidRPr="00680273" w:rsidRDefault="005B4320" w:rsidP="005B43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color w:val="0D0D0D"/>
          <w:sz w:val="22"/>
        </w:rPr>
      </w:pPr>
    </w:p>
    <w:p w14:paraId="6432C1FB" w14:textId="77777777" w:rsidR="001C4EF8" w:rsidRPr="00176A35" w:rsidRDefault="00C9573E" w:rsidP="00C9573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sz w:val="22"/>
        </w:rPr>
      </w:pPr>
      <w:r w:rsidRPr="00176A35">
        <w:rPr>
          <w:color w:val="0D0D0D"/>
          <w:sz w:val="22"/>
        </w:rPr>
        <w:t>(</w:t>
      </w:r>
      <w:r w:rsidR="00176A35" w:rsidRPr="00176A35">
        <w:rPr>
          <w:color w:val="0D0D0D"/>
          <w:sz w:val="22"/>
        </w:rPr>
        <w:t>81</w:t>
      </w:r>
      <w:r w:rsidRPr="00176A35">
        <w:rPr>
          <w:color w:val="0D0D0D"/>
          <w:sz w:val="22"/>
        </w:rPr>
        <w:t>)</w:t>
      </w:r>
      <w:r w:rsidR="009C5BBE">
        <w:rPr>
          <w:color w:val="0D0D0D"/>
          <w:sz w:val="22"/>
        </w:rPr>
        <w:t xml:space="preserve"> </w:t>
      </w:r>
      <w:r w:rsidR="009C5BBE">
        <w:rPr>
          <w:color w:val="0D0D0D"/>
          <w:sz w:val="22"/>
        </w:rPr>
        <w:tab/>
      </w:r>
      <w:r w:rsidR="001C4EF8" w:rsidRPr="00176A35">
        <w:rPr>
          <w:color w:val="0D0D0D"/>
          <w:sz w:val="22"/>
        </w:rPr>
        <w:t>Subpart CCCC</w:t>
      </w:r>
      <w:r w:rsidR="009971D4" w:rsidRPr="00176A35">
        <w:rPr>
          <w:color w:val="0D0D0D"/>
          <w:sz w:val="22"/>
        </w:rPr>
        <w:t xml:space="preserve"> - </w:t>
      </w:r>
      <w:r w:rsidR="001C4EF8" w:rsidRPr="00176A35">
        <w:rPr>
          <w:color w:val="0D0D0D"/>
          <w:sz w:val="22"/>
        </w:rPr>
        <w:t>New Source Performance Standards for Commercial and Industrial</w:t>
      </w:r>
      <w:r w:rsidR="001C4EF8" w:rsidRPr="00176A35">
        <w:rPr>
          <w:sz w:val="22"/>
        </w:rPr>
        <w:t xml:space="preserve"> Solid Waste Incineration Units.</w:t>
      </w:r>
    </w:p>
    <w:p w14:paraId="0A48B5D2" w14:textId="77777777" w:rsidR="001C4EF8" w:rsidRPr="004551A7" w:rsidRDefault="001C4EF8" w:rsidP="00F1748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620" w:hanging="540"/>
        <w:rPr>
          <w:color w:val="FF0000"/>
          <w:sz w:val="22"/>
        </w:rPr>
      </w:pPr>
    </w:p>
    <w:p w14:paraId="2273E187" w14:textId="77777777" w:rsidR="006117C1" w:rsidRPr="006117C1" w:rsidRDefault="00C9573E" w:rsidP="00C9573E">
      <w:pPr>
        <w:tabs>
          <w:tab w:val="left" w:pos="1620"/>
        </w:tabs>
        <w:ind w:left="1620" w:hanging="540"/>
        <w:rPr>
          <w:sz w:val="22"/>
          <w:szCs w:val="22"/>
        </w:rPr>
      </w:pPr>
      <w:r w:rsidRPr="00680273">
        <w:rPr>
          <w:color w:val="0D0D0D"/>
          <w:sz w:val="22"/>
          <w:szCs w:val="22"/>
        </w:rPr>
        <w:t>(</w:t>
      </w:r>
      <w:r w:rsidR="00A374D1" w:rsidRPr="00680273">
        <w:rPr>
          <w:color w:val="0D0D0D"/>
          <w:sz w:val="22"/>
          <w:szCs w:val="22"/>
        </w:rPr>
        <w:t>8</w:t>
      </w:r>
      <w:r w:rsidR="00176A35">
        <w:rPr>
          <w:color w:val="0D0D0D"/>
          <w:sz w:val="22"/>
          <w:szCs w:val="22"/>
        </w:rPr>
        <w:t>2</w:t>
      </w:r>
      <w:r w:rsidRPr="00680273">
        <w:rPr>
          <w:color w:val="0D0D0D"/>
          <w:sz w:val="22"/>
          <w:szCs w:val="22"/>
        </w:rPr>
        <w:t>)</w:t>
      </w:r>
      <w:r w:rsidR="009C5BBE">
        <w:rPr>
          <w:color w:val="0D0D0D"/>
          <w:sz w:val="22"/>
          <w:szCs w:val="22"/>
        </w:rPr>
        <w:t xml:space="preserve"> </w:t>
      </w:r>
      <w:r w:rsidR="009C5BBE">
        <w:rPr>
          <w:color w:val="0D0D0D"/>
          <w:sz w:val="22"/>
          <w:szCs w:val="22"/>
        </w:rPr>
        <w:tab/>
      </w:r>
      <w:r w:rsidR="006117C1" w:rsidRPr="00680273">
        <w:rPr>
          <w:color w:val="0D0D0D"/>
          <w:sz w:val="22"/>
          <w:szCs w:val="22"/>
        </w:rPr>
        <w:t>Subpart</w:t>
      </w:r>
      <w:r w:rsidR="006117C1" w:rsidRPr="006117C1">
        <w:rPr>
          <w:sz w:val="22"/>
          <w:szCs w:val="22"/>
        </w:rPr>
        <w:t xml:space="preserve"> KKKK</w:t>
      </w:r>
      <w:r w:rsidR="009971D4">
        <w:rPr>
          <w:sz w:val="22"/>
        </w:rPr>
        <w:t xml:space="preserve"> - </w:t>
      </w:r>
      <w:r w:rsidR="006117C1" w:rsidRPr="006117C1">
        <w:rPr>
          <w:sz w:val="22"/>
          <w:szCs w:val="22"/>
        </w:rPr>
        <w:t>Standards of Performance for Stationary Combustion Turbines.</w:t>
      </w:r>
    </w:p>
    <w:p w14:paraId="529FC046" w14:textId="77777777" w:rsidR="006117C1" w:rsidRPr="006117C1" w:rsidRDefault="006117C1" w:rsidP="00AC129D">
      <w:pPr>
        <w:tabs>
          <w:tab w:val="left" w:pos="1620"/>
        </w:tabs>
        <w:ind w:left="1620" w:hanging="540"/>
        <w:rPr>
          <w:sz w:val="22"/>
          <w:szCs w:val="22"/>
        </w:rPr>
      </w:pPr>
    </w:p>
    <w:p w14:paraId="55A01B2A" w14:textId="77777777" w:rsidR="006117C1" w:rsidRPr="009C5BBE" w:rsidRDefault="00C9573E" w:rsidP="00C9573E">
      <w:pPr>
        <w:tabs>
          <w:tab w:val="left" w:pos="1620"/>
        </w:tabs>
        <w:ind w:left="1620" w:hanging="540"/>
        <w:rPr>
          <w:sz w:val="22"/>
          <w:szCs w:val="22"/>
        </w:rPr>
      </w:pPr>
      <w:r>
        <w:rPr>
          <w:sz w:val="22"/>
          <w:szCs w:val="22"/>
        </w:rPr>
        <w:t>(</w:t>
      </w:r>
      <w:r w:rsidR="00A374D1">
        <w:rPr>
          <w:sz w:val="22"/>
          <w:szCs w:val="22"/>
        </w:rPr>
        <w:t>8</w:t>
      </w:r>
      <w:r w:rsidR="00176A35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9C5BBE">
        <w:rPr>
          <w:sz w:val="22"/>
          <w:szCs w:val="22"/>
        </w:rPr>
        <w:t xml:space="preserve">   </w:t>
      </w:r>
      <w:r w:rsidR="006117C1" w:rsidRPr="009C5BBE">
        <w:rPr>
          <w:sz w:val="22"/>
          <w:szCs w:val="22"/>
        </w:rPr>
        <w:t>Subpart OOOO</w:t>
      </w:r>
      <w:r w:rsidR="009971D4" w:rsidRPr="009C5BBE">
        <w:rPr>
          <w:sz w:val="22"/>
        </w:rPr>
        <w:t xml:space="preserve"> - </w:t>
      </w:r>
      <w:r w:rsidR="006117C1" w:rsidRPr="009C5BBE">
        <w:rPr>
          <w:bCs/>
          <w:sz w:val="22"/>
          <w:szCs w:val="22"/>
        </w:rPr>
        <w:t xml:space="preserve">Standards of Performance for Crude Oil and Natural Gas </w:t>
      </w:r>
      <w:r w:rsidR="0063742B" w:rsidRPr="009C5BBE">
        <w:rPr>
          <w:bCs/>
          <w:sz w:val="22"/>
          <w:szCs w:val="22"/>
        </w:rPr>
        <w:t>Facilities for Which Construction, Modification, or Reconstruction Commenced After</w:t>
      </w:r>
      <w:r w:rsidR="00DE6A5C">
        <w:rPr>
          <w:bCs/>
          <w:sz w:val="22"/>
          <w:szCs w:val="22"/>
        </w:rPr>
        <w:t xml:space="preserve"> August 23, 2011</w:t>
      </w:r>
      <w:r w:rsidR="00FA0FEE">
        <w:rPr>
          <w:bCs/>
          <w:sz w:val="22"/>
          <w:szCs w:val="22"/>
        </w:rPr>
        <w:t>,</w:t>
      </w:r>
      <w:r w:rsidR="0063742B" w:rsidRPr="009C5BBE">
        <w:rPr>
          <w:bCs/>
          <w:sz w:val="22"/>
          <w:szCs w:val="22"/>
        </w:rPr>
        <w:t xml:space="preserve"> and on or Before September 18, 2015</w:t>
      </w:r>
      <w:r w:rsidR="006117C1" w:rsidRPr="009C5BBE">
        <w:rPr>
          <w:bCs/>
          <w:sz w:val="22"/>
          <w:szCs w:val="22"/>
        </w:rPr>
        <w:t>.</w:t>
      </w:r>
      <w:r w:rsidR="006117C1" w:rsidRPr="009C5BBE">
        <w:rPr>
          <w:sz w:val="22"/>
          <w:szCs w:val="22"/>
        </w:rPr>
        <w:t xml:space="preserve"> </w:t>
      </w:r>
    </w:p>
    <w:p w14:paraId="7A3EFD03" w14:textId="77777777" w:rsidR="00AC129D" w:rsidRPr="009C5BBE" w:rsidRDefault="00AC129D" w:rsidP="00943A9E">
      <w:pPr>
        <w:pStyle w:val="ListParagraph"/>
        <w:ind w:left="1620" w:hanging="540"/>
        <w:rPr>
          <w:sz w:val="22"/>
          <w:szCs w:val="22"/>
        </w:rPr>
      </w:pPr>
    </w:p>
    <w:p w14:paraId="5D7D455D" w14:textId="77777777" w:rsidR="00AC129D" w:rsidRPr="009C5BBE" w:rsidRDefault="00AC129D" w:rsidP="00176A35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bookmarkStart w:id="5" w:name="_Hlk102134166"/>
      <w:r w:rsidRPr="009C5BBE">
        <w:rPr>
          <w:sz w:val="22"/>
          <w:szCs w:val="22"/>
        </w:rPr>
        <w:lastRenderedPageBreak/>
        <w:t xml:space="preserve">Subpart </w:t>
      </w:r>
      <w:proofErr w:type="spellStart"/>
      <w:r w:rsidRPr="009C5BBE">
        <w:rPr>
          <w:sz w:val="22"/>
          <w:szCs w:val="22"/>
        </w:rPr>
        <w:t>OOOOa</w:t>
      </w:r>
      <w:proofErr w:type="spellEnd"/>
      <w:r w:rsidR="009971D4" w:rsidRPr="009C5BBE">
        <w:rPr>
          <w:sz w:val="22"/>
        </w:rPr>
        <w:t xml:space="preserve"> - </w:t>
      </w:r>
      <w:r w:rsidRPr="009C5BBE">
        <w:rPr>
          <w:bCs/>
          <w:sz w:val="22"/>
          <w:szCs w:val="22"/>
        </w:rPr>
        <w:t xml:space="preserve">Standards of Performance for Crude Oil and Natural Gas </w:t>
      </w:r>
      <w:r w:rsidR="0063742B" w:rsidRPr="009C5BBE">
        <w:rPr>
          <w:bCs/>
          <w:sz w:val="22"/>
          <w:szCs w:val="22"/>
        </w:rPr>
        <w:t>Facilities for which Construction, Modification or Reconstruction Commenced After</w:t>
      </w:r>
      <w:r w:rsidR="00FA0FEE">
        <w:rPr>
          <w:bCs/>
          <w:sz w:val="22"/>
          <w:szCs w:val="22"/>
        </w:rPr>
        <w:t xml:space="preserve"> September 18,</w:t>
      </w:r>
      <w:r w:rsidR="0063742B" w:rsidRPr="009C5BBE">
        <w:rPr>
          <w:bCs/>
          <w:sz w:val="22"/>
          <w:szCs w:val="22"/>
        </w:rPr>
        <w:t xml:space="preserve"> 2015</w:t>
      </w:r>
      <w:r w:rsidRPr="009C5BBE">
        <w:rPr>
          <w:bCs/>
          <w:sz w:val="22"/>
          <w:szCs w:val="22"/>
        </w:rPr>
        <w:t>.</w:t>
      </w:r>
      <w:r w:rsidRPr="009C5BBE">
        <w:rPr>
          <w:sz w:val="22"/>
          <w:szCs w:val="22"/>
        </w:rPr>
        <w:t xml:space="preserve"> </w:t>
      </w:r>
    </w:p>
    <w:p w14:paraId="29DAE291" w14:textId="77777777" w:rsidR="00AC129D" w:rsidRPr="00176A35" w:rsidRDefault="00AC129D" w:rsidP="00943A9E">
      <w:pPr>
        <w:pStyle w:val="ListParagraph"/>
        <w:rPr>
          <w:sz w:val="22"/>
          <w:szCs w:val="22"/>
        </w:rPr>
      </w:pPr>
      <w:bookmarkStart w:id="6" w:name="_Hlk102134149"/>
      <w:bookmarkEnd w:id="5"/>
    </w:p>
    <w:p w14:paraId="4D32B016" w14:textId="77777777" w:rsidR="00D82AF8" w:rsidRPr="009C5BBE" w:rsidRDefault="00AC129D" w:rsidP="00176A35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Subpart TTTT</w:t>
      </w:r>
      <w:r w:rsidR="00176A35" w:rsidRPr="009C5BBE">
        <w:rPr>
          <w:sz w:val="22"/>
        </w:rPr>
        <w:t xml:space="preserve"> </w:t>
      </w:r>
      <w:r w:rsidR="009971D4" w:rsidRPr="009C5BBE">
        <w:rPr>
          <w:sz w:val="22"/>
        </w:rPr>
        <w:t xml:space="preserve">- </w:t>
      </w:r>
      <w:r w:rsidR="00D15528" w:rsidRPr="009C5BBE">
        <w:rPr>
          <w:sz w:val="22"/>
          <w:szCs w:val="22"/>
        </w:rPr>
        <w:t xml:space="preserve">Standard of </w:t>
      </w:r>
      <w:proofErr w:type="spellStart"/>
      <w:r w:rsidR="00D15528" w:rsidRPr="009C5BBE">
        <w:rPr>
          <w:sz w:val="22"/>
          <w:szCs w:val="22"/>
        </w:rPr>
        <w:t>Perfomance</w:t>
      </w:r>
      <w:proofErr w:type="spellEnd"/>
      <w:r w:rsidR="00D15528" w:rsidRPr="009C5BBE">
        <w:rPr>
          <w:sz w:val="22"/>
          <w:szCs w:val="22"/>
        </w:rPr>
        <w:t xml:space="preserve"> for Greenhouse Gas Emissions </w:t>
      </w:r>
      <w:r w:rsidR="0063742B" w:rsidRPr="009C5BBE">
        <w:rPr>
          <w:sz w:val="22"/>
          <w:szCs w:val="22"/>
        </w:rPr>
        <w:t>for</w:t>
      </w:r>
      <w:r w:rsidR="00B0633B" w:rsidRPr="009C5BBE">
        <w:rPr>
          <w:sz w:val="22"/>
          <w:szCs w:val="22"/>
        </w:rPr>
        <w:t xml:space="preserve"> Electric Utility Generating Units. </w:t>
      </w:r>
    </w:p>
    <w:bookmarkEnd w:id="6"/>
    <w:p w14:paraId="2C9A2CE9" w14:textId="77777777" w:rsidR="00176A35" w:rsidRPr="00176A35" w:rsidRDefault="00176A35" w:rsidP="00943A9E">
      <w:pPr>
        <w:tabs>
          <w:tab w:val="left" w:pos="1620"/>
        </w:tabs>
        <w:ind w:left="1620" w:hanging="540"/>
        <w:rPr>
          <w:strike/>
          <w:sz w:val="22"/>
        </w:rPr>
      </w:pPr>
    </w:p>
    <w:p w14:paraId="31B9B638" w14:textId="77777777" w:rsidR="00CF1BFB" w:rsidRPr="009C5BBE" w:rsidRDefault="00CF1BFB" w:rsidP="00176A35">
      <w:pPr>
        <w:numPr>
          <w:ilvl w:val="0"/>
          <w:numId w:val="7"/>
        </w:numPr>
        <w:ind w:left="1620" w:hanging="540"/>
        <w:rPr>
          <w:sz w:val="22"/>
          <w:szCs w:val="22"/>
        </w:rPr>
      </w:pPr>
      <w:bookmarkStart w:id="7" w:name="_Hlk111558775"/>
      <w:r w:rsidRPr="009C5BBE">
        <w:rPr>
          <w:sz w:val="22"/>
          <w:szCs w:val="22"/>
        </w:rPr>
        <w:t xml:space="preserve">Appendix A-1 to Part 60 </w:t>
      </w:r>
      <w:r w:rsidR="00176A35" w:rsidRPr="009C5BBE">
        <w:rPr>
          <w:sz w:val="22"/>
          <w:szCs w:val="22"/>
        </w:rPr>
        <w:t xml:space="preserve">- Test Methods 1 through 2F </w:t>
      </w:r>
    </w:p>
    <w:bookmarkEnd w:id="7"/>
    <w:p w14:paraId="3C905870" w14:textId="77777777" w:rsidR="00176A35" w:rsidRPr="009C5BBE" w:rsidRDefault="00176A35" w:rsidP="00176A35">
      <w:pPr>
        <w:tabs>
          <w:tab w:val="left" w:pos="1620"/>
        </w:tabs>
        <w:ind w:left="1560"/>
        <w:rPr>
          <w:sz w:val="22"/>
          <w:szCs w:val="22"/>
        </w:rPr>
      </w:pPr>
    </w:p>
    <w:p w14:paraId="089D8F37" w14:textId="77777777" w:rsidR="00176A35" w:rsidRPr="009C5BBE" w:rsidRDefault="00176A35" w:rsidP="00176A35">
      <w:pPr>
        <w:numPr>
          <w:ilvl w:val="0"/>
          <w:numId w:val="7"/>
        </w:numPr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 xml:space="preserve">Appendix A-2 to Part 60 - Test Methods 2G through 3C </w:t>
      </w:r>
    </w:p>
    <w:p w14:paraId="1F8BF23F" w14:textId="77777777" w:rsidR="00176A35" w:rsidRPr="009C5BBE" w:rsidRDefault="00176A35" w:rsidP="00943A9E">
      <w:pPr>
        <w:tabs>
          <w:tab w:val="left" w:pos="1620"/>
        </w:tabs>
        <w:ind w:left="1620" w:hanging="540"/>
        <w:rPr>
          <w:sz w:val="22"/>
          <w:szCs w:val="22"/>
        </w:rPr>
      </w:pPr>
    </w:p>
    <w:p w14:paraId="56D91661" w14:textId="77777777" w:rsidR="00176A35" w:rsidRPr="009C5BBE" w:rsidRDefault="00176A35" w:rsidP="00176A35">
      <w:pPr>
        <w:numPr>
          <w:ilvl w:val="0"/>
          <w:numId w:val="7"/>
        </w:numPr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A-3 to Part 60 - Test Methods 4 Through 5I</w:t>
      </w:r>
    </w:p>
    <w:p w14:paraId="613C699E" w14:textId="77777777" w:rsidR="00176A35" w:rsidRPr="009C5BBE" w:rsidRDefault="00176A35" w:rsidP="00943A9E">
      <w:pPr>
        <w:tabs>
          <w:tab w:val="left" w:pos="1620"/>
        </w:tabs>
        <w:ind w:left="1620" w:hanging="540"/>
        <w:rPr>
          <w:sz w:val="22"/>
          <w:szCs w:val="22"/>
        </w:rPr>
      </w:pPr>
    </w:p>
    <w:p w14:paraId="65ACBF31" w14:textId="77777777" w:rsidR="00176A35" w:rsidRPr="009C5BBE" w:rsidRDefault="00176A35" w:rsidP="000D18CA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A-4 to Part 60 - Test Methods 6 through 10B</w:t>
      </w:r>
    </w:p>
    <w:p w14:paraId="2F2FB11D" w14:textId="77777777" w:rsidR="00176A35" w:rsidRPr="009C5BBE" w:rsidRDefault="00176A35" w:rsidP="00943A9E">
      <w:pPr>
        <w:tabs>
          <w:tab w:val="left" w:pos="1620"/>
        </w:tabs>
        <w:ind w:left="1620" w:hanging="540"/>
        <w:rPr>
          <w:sz w:val="22"/>
          <w:szCs w:val="22"/>
        </w:rPr>
      </w:pPr>
    </w:p>
    <w:p w14:paraId="53AA781B" w14:textId="77777777" w:rsidR="00176A35" w:rsidRPr="009C5BBE" w:rsidRDefault="00CF1BFB" w:rsidP="00DF50BA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A-5 to Part 60</w:t>
      </w:r>
      <w:r w:rsidR="00176A35" w:rsidRPr="009C5BBE">
        <w:rPr>
          <w:sz w:val="22"/>
          <w:szCs w:val="22"/>
        </w:rPr>
        <w:t xml:space="preserve"> - Test Methods 11 through 15A</w:t>
      </w:r>
      <w:r w:rsidRPr="009C5BBE">
        <w:rPr>
          <w:sz w:val="22"/>
          <w:szCs w:val="22"/>
        </w:rPr>
        <w:br/>
      </w:r>
    </w:p>
    <w:p w14:paraId="4DCE8417" w14:textId="77777777" w:rsidR="00176A35" w:rsidRPr="009C5BBE" w:rsidRDefault="00CF1BFB" w:rsidP="00176A35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A-6 to Part 60</w:t>
      </w:r>
      <w:r w:rsidR="00176A35" w:rsidRPr="009C5BBE">
        <w:rPr>
          <w:sz w:val="22"/>
          <w:szCs w:val="22"/>
        </w:rPr>
        <w:t xml:space="preserve"> - Test Methods 16 through 18</w:t>
      </w:r>
      <w:r w:rsidRPr="009C5BBE">
        <w:rPr>
          <w:sz w:val="22"/>
          <w:szCs w:val="22"/>
        </w:rPr>
        <w:br/>
      </w:r>
    </w:p>
    <w:p w14:paraId="06AE4FDC" w14:textId="77777777" w:rsidR="00176A35" w:rsidRPr="009C5BBE" w:rsidRDefault="00CF1BFB" w:rsidP="00176A35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A-7 to Part 60</w:t>
      </w:r>
      <w:r w:rsidR="00176A35" w:rsidRPr="009C5BBE">
        <w:rPr>
          <w:sz w:val="22"/>
          <w:szCs w:val="22"/>
        </w:rPr>
        <w:t xml:space="preserve"> – Test Methods 19 through 25E</w:t>
      </w:r>
      <w:r w:rsidRPr="009C5BBE">
        <w:rPr>
          <w:sz w:val="22"/>
          <w:szCs w:val="22"/>
        </w:rPr>
        <w:br/>
      </w:r>
    </w:p>
    <w:p w14:paraId="683A54CE" w14:textId="77777777" w:rsidR="00CF1BFB" w:rsidRPr="009C5BBE" w:rsidRDefault="00CF1BFB" w:rsidP="00176A35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  <w:szCs w:val="22"/>
        </w:rPr>
      </w:pPr>
      <w:r w:rsidRPr="009C5BBE">
        <w:rPr>
          <w:sz w:val="22"/>
          <w:szCs w:val="22"/>
        </w:rPr>
        <w:t>Appendix A-8 to Part 60</w:t>
      </w:r>
      <w:r w:rsidR="00176A35" w:rsidRPr="009C5BBE">
        <w:rPr>
          <w:sz w:val="22"/>
          <w:szCs w:val="22"/>
        </w:rPr>
        <w:t xml:space="preserve"> – Test Methods 26 through 30B</w:t>
      </w:r>
      <w:r w:rsidRPr="009C5BBE">
        <w:rPr>
          <w:sz w:val="22"/>
          <w:szCs w:val="22"/>
        </w:rPr>
        <w:br/>
      </w:r>
    </w:p>
    <w:p w14:paraId="20D45148" w14:textId="77777777" w:rsidR="006117C1" w:rsidRPr="009C5BBE" w:rsidRDefault="006117C1" w:rsidP="009C5BBE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</w:rPr>
      </w:pPr>
      <w:r w:rsidRPr="009C5BBE">
        <w:rPr>
          <w:sz w:val="22"/>
        </w:rPr>
        <w:t>Appendix B</w:t>
      </w:r>
      <w:r w:rsidR="009971D4" w:rsidRPr="009C5BBE">
        <w:rPr>
          <w:sz w:val="22"/>
        </w:rPr>
        <w:t xml:space="preserve"> </w:t>
      </w:r>
      <w:r w:rsidR="00FA0FEE">
        <w:rPr>
          <w:sz w:val="22"/>
        </w:rPr>
        <w:t xml:space="preserve">to Part 60 </w:t>
      </w:r>
      <w:r w:rsidR="009971D4" w:rsidRPr="009C5BBE">
        <w:rPr>
          <w:sz w:val="22"/>
        </w:rPr>
        <w:t xml:space="preserve">- </w:t>
      </w:r>
      <w:r w:rsidRPr="009C5BBE">
        <w:rPr>
          <w:sz w:val="22"/>
        </w:rPr>
        <w:t>Performance Specifications.</w:t>
      </w:r>
    </w:p>
    <w:p w14:paraId="0C3F06F5" w14:textId="77777777" w:rsidR="006117C1" w:rsidRPr="009C5BBE" w:rsidRDefault="006117C1" w:rsidP="00943A9E">
      <w:pPr>
        <w:tabs>
          <w:tab w:val="left" w:pos="1620"/>
        </w:tabs>
        <w:ind w:left="1620" w:hanging="540"/>
        <w:rPr>
          <w:sz w:val="22"/>
        </w:rPr>
      </w:pPr>
    </w:p>
    <w:p w14:paraId="68FAA9A3" w14:textId="77777777" w:rsidR="006117C1" w:rsidRPr="009C5BBE" w:rsidRDefault="006117C1" w:rsidP="009C5BBE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</w:rPr>
      </w:pPr>
      <w:r w:rsidRPr="009C5BBE">
        <w:rPr>
          <w:sz w:val="22"/>
        </w:rPr>
        <w:t>Appendix C</w:t>
      </w:r>
      <w:r w:rsidR="009971D4" w:rsidRPr="009C5BBE">
        <w:rPr>
          <w:sz w:val="22"/>
        </w:rPr>
        <w:t xml:space="preserve"> </w:t>
      </w:r>
      <w:r w:rsidR="00FA0FEE">
        <w:rPr>
          <w:sz w:val="22"/>
        </w:rPr>
        <w:t xml:space="preserve">to Part 60 </w:t>
      </w:r>
      <w:r w:rsidR="009971D4" w:rsidRPr="009C5BBE">
        <w:rPr>
          <w:sz w:val="22"/>
        </w:rPr>
        <w:t xml:space="preserve">- </w:t>
      </w:r>
      <w:r w:rsidRPr="009C5BBE">
        <w:rPr>
          <w:sz w:val="22"/>
        </w:rPr>
        <w:t>Determination of Emission Rate Change.</w:t>
      </w:r>
    </w:p>
    <w:p w14:paraId="734ABABD" w14:textId="77777777" w:rsidR="006117C1" w:rsidRPr="009C5BBE" w:rsidRDefault="006117C1" w:rsidP="006117C1">
      <w:pPr>
        <w:tabs>
          <w:tab w:val="left" w:pos="1620"/>
        </w:tabs>
        <w:ind w:left="1620" w:hanging="540"/>
        <w:rPr>
          <w:sz w:val="22"/>
        </w:rPr>
      </w:pPr>
    </w:p>
    <w:p w14:paraId="14EACD6A" w14:textId="77777777" w:rsidR="006117C1" w:rsidRPr="006117C1" w:rsidRDefault="006117C1" w:rsidP="009C5BBE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</w:rPr>
      </w:pPr>
      <w:r w:rsidRPr="009C5BBE">
        <w:rPr>
          <w:sz w:val="22"/>
        </w:rPr>
        <w:t>Appendix</w:t>
      </w:r>
      <w:r w:rsidRPr="006117C1">
        <w:rPr>
          <w:sz w:val="22"/>
        </w:rPr>
        <w:t xml:space="preserve"> D</w:t>
      </w:r>
      <w:r w:rsidR="009971D4">
        <w:rPr>
          <w:sz w:val="22"/>
        </w:rPr>
        <w:t xml:space="preserve"> </w:t>
      </w:r>
      <w:r w:rsidR="00FA0FEE">
        <w:rPr>
          <w:sz w:val="22"/>
        </w:rPr>
        <w:t xml:space="preserve">to Part 60 </w:t>
      </w:r>
      <w:r w:rsidR="009971D4">
        <w:rPr>
          <w:sz w:val="22"/>
        </w:rPr>
        <w:t xml:space="preserve">- </w:t>
      </w:r>
      <w:r w:rsidRPr="006117C1">
        <w:rPr>
          <w:sz w:val="22"/>
        </w:rPr>
        <w:t>Required Emission Inventory Information.</w:t>
      </w:r>
    </w:p>
    <w:p w14:paraId="0ED70C97" w14:textId="77777777" w:rsidR="006117C1" w:rsidRPr="006117C1" w:rsidRDefault="006117C1" w:rsidP="006117C1">
      <w:pPr>
        <w:tabs>
          <w:tab w:val="left" w:pos="1620"/>
        </w:tabs>
        <w:ind w:left="1620" w:hanging="540"/>
        <w:rPr>
          <w:sz w:val="22"/>
        </w:rPr>
      </w:pPr>
    </w:p>
    <w:p w14:paraId="6B0AAF5B" w14:textId="77777777" w:rsidR="006117C1" w:rsidRPr="006117C1" w:rsidRDefault="006117C1" w:rsidP="009C5BBE">
      <w:pPr>
        <w:numPr>
          <w:ilvl w:val="0"/>
          <w:numId w:val="7"/>
        </w:numPr>
        <w:tabs>
          <w:tab w:val="left" w:pos="1620"/>
        </w:tabs>
        <w:ind w:left="1620" w:hanging="540"/>
        <w:rPr>
          <w:sz w:val="22"/>
        </w:rPr>
      </w:pPr>
      <w:r w:rsidRPr="006117C1">
        <w:rPr>
          <w:sz w:val="22"/>
        </w:rPr>
        <w:t>Appendix F</w:t>
      </w:r>
      <w:r w:rsidR="009971D4">
        <w:rPr>
          <w:sz w:val="22"/>
        </w:rPr>
        <w:t xml:space="preserve"> </w:t>
      </w:r>
      <w:r w:rsidR="00FA0FEE">
        <w:rPr>
          <w:sz w:val="22"/>
        </w:rPr>
        <w:t xml:space="preserve">to Part 60 </w:t>
      </w:r>
      <w:r w:rsidR="009971D4">
        <w:rPr>
          <w:sz w:val="22"/>
        </w:rPr>
        <w:t xml:space="preserve">- </w:t>
      </w:r>
      <w:r w:rsidRPr="006117C1">
        <w:rPr>
          <w:sz w:val="22"/>
        </w:rPr>
        <w:t>Quality Assurance Procedures.</w:t>
      </w:r>
    </w:p>
    <w:p w14:paraId="13F6203C" w14:textId="77777777" w:rsidR="006117C1" w:rsidRPr="006117C1" w:rsidRDefault="006117C1" w:rsidP="006117C1">
      <w:pPr>
        <w:tabs>
          <w:tab w:val="left" w:pos="1620"/>
        </w:tabs>
        <w:ind w:left="1620" w:hanging="540"/>
        <w:rPr>
          <w:sz w:val="22"/>
        </w:rPr>
      </w:pPr>
    </w:p>
    <w:p w14:paraId="643F601B" w14:textId="77777777" w:rsidR="001C4EF8" w:rsidRDefault="001C4EF8" w:rsidP="005B4320">
      <w:pPr>
        <w:pBdr>
          <w:bottom w:val="single" w:sz="4" w:space="1" w:color="auto"/>
        </w:pBdr>
        <w:tabs>
          <w:tab w:val="left" w:pos="1080"/>
        </w:tabs>
        <w:ind w:left="1620" w:hanging="1620"/>
        <w:rPr>
          <w:sz w:val="22"/>
        </w:rPr>
      </w:pPr>
    </w:p>
    <w:p w14:paraId="6E56E27E" w14:textId="77777777" w:rsidR="001C4EF8" w:rsidRDefault="001C4EF8">
      <w:pPr>
        <w:tabs>
          <w:tab w:val="left" w:pos="1080"/>
        </w:tabs>
        <w:ind w:left="1080" w:hanging="360"/>
        <w:rPr>
          <w:sz w:val="22"/>
        </w:rPr>
      </w:pPr>
    </w:p>
    <w:p w14:paraId="163BF130" w14:textId="77777777" w:rsidR="005B4320" w:rsidRDefault="005B4320">
      <w:pPr>
        <w:tabs>
          <w:tab w:val="left" w:pos="1080"/>
        </w:tabs>
        <w:ind w:left="1080" w:hanging="360"/>
        <w:rPr>
          <w:sz w:val="22"/>
        </w:rPr>
      </w:pPr>
    </w:p>
    <w:p w14:paraId="14A08A31" w14:textId="77777777" w:rsidR="00E870ED" w:rsidRDefault="005B4320">
      <w:pPr>
        <w:pStyle w:val="RulesAuthorityEffec"/>
      </w:pPr>
      <w:r>
        <w:t xml:space="preserve">STATUTORY </w:t>
      </w:r>
      <w:r w:rsidR="00D861E0">
        <w:t xml:space="preserve">AUTHORITY: </w:t>
      </w:r>
      <w:r w:rsidR="001C4EF8">
        <w:rPr>
          <w:sz w:val="24"/>
        </w:rPr>
        <w:t>38 M</w:t>
      </w:r>
      <w:r w:rsidR="001F372E">
        <w:rPr>
          <w:sz w:val="24"/>
        </w:rPr>
        <w:t>.</w:t>
      </w:r>
      <w:r w:rsidR="001C4EF8">
        <w:rPr>
          <w:sz w:val="24"/>
        </w:rPr>
        <w:t>R</w:t>
      </w:r>
      <w:r w:rsidR="001F372E">
        <w:rPr>
          <w:sz w:val="24"/>
        </w:rPr>
        <w:t>.</w:t>
      </w:r>
      <w:r w:rsidR="001C4EF8">
        <w:rPr>
          <w:sz w:val="24"/>
        </w:rPr>
        <w:t>S</w:t>
      </w:r>
      <w:r w:rsidR="001F372E">
        <w:rPr>
          <w:sz w:val="24"/>
        </w:rPr>
        <w:t>.</w:t>
      </w:r>
      <w:r w:rsidR="001C4EF8">
        <w:rPr>
          <w:sz w:val="24"/>
        </w:rPr>
        <w:t xml:space="preserve"> </w:t>
      </w:r>
      <w:bookmarkStart w:id="8" w:name="_Hlk129079401"/>
      <w:r w:rsidR="006117C1" w:rsidRPr="00635A63">
        <w:t>§§</w:t>
      </w:r>
      <w:r w:rsidR="006117C1">
        <w:rPr>
          <w:sz w:val="24"/>
        </w:rPr>
        <w:t xml:space="preserve"> </w:t>
      </w:r>
      <w:r w:rsidR="001C4EF8">
        <w:rPr>
          <w:sz w:val="24"/>
        </w:rPr>
        <w:t>585</w:t>
      </w:r>
      <w:r w:rsidR="00635A63">
        <w:rPr>
          <w:sz w:val="24"/>
        </w:rPr>
        <w:t>-</w:t>
      </w:r>
      <w:r w:rsidR="001C4EF8">
        <w:rPr>
          <w:sz w:val="24"/>
        </w:rPr>
        <w:t>A</w:t>
      </w:r>
      <w:r w:rsidR="00635A63">
        <w:rPr>
          <w:sz w:val="24"/>
        </w:rPr>
        <w:t>,</w:t>
      </w:r>
      <w:r w:rsidR="001C4EF8">
        <w:rPr>
          <w:sz w:val="24"/>
        </w:rPr>
        <w:t xml:space="preserve"> </w:t>
      </w:r>
      <w:r w:rsidR="00635A63">
        <w:rPr>
          <w:sz w:val="24"/>
        </w:rPr>
        <w:t>585-</w:t>
      </w:r>
      <w:r w:rsidR="001C4EF8">
        <w:rPr>
          <w:sz w:val="24"/>
        </w:rPr>
        <w:t>B</w:t>
      </w:r>
      <w:r w:rsidR="00635A63">
        <w:rPr>
          <w:sz w:val="24"/>
        </w:rPr>
        <w:t>, 590</w:t>
      </w:r>
      <w:bookmarkEnd w:id="8"/>
    </w:p>
    <w:p w14:paraId="6DE245C7" w14:textId="77777777" w:rsidR="00D861E0" w:rsidRDefault="00D861E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2520"/>
        <w:rPr>
          <w:sz w:val="22"/>
          <w:szCs w:val="22"/>
        </w:rPr>
      </w:pPr>
    </w:p>
    <w:p w14:paraId="1C9BC42E" w14:textId="77777777" w:rsidR="00E870ED" w:rsidRDefault="00D861E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14:paraId="1EC1C6F2" w14:textId="77777777" w:rsidR="00D861E0" w:rsidRDefault="005B432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23"/>
          <w:attr w:name="Year" w:val="1999"/>
        </w:smartTagPr>
        <w:r w:rsidR="00D861E0">
          <w:rPr>
            <w:sz w:val="22"/>
            <w:szCs w:val="22"/>
          </w:rPr>
          <w:t>February 23, 1999</w:t>
        </w:r>
      </w:smartTag>
    </w:p>
    <w:p w14:paraId="0AF9E82A" w14:textId="77777777" w:rsidR="00D861E0" w:rsidRDefault="00D861E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</w:p>
    <w:p w14:paraId="304C5A37" w14:textId="77777777" w:rsidR="00E870ED" w:rsidRDefault="00D861E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7C2DCA57" w14:textId="77777777" w:rsidR="00D861E0" w:rsidRDefault="005B432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"/>
          <w:attr w:name="Year" w:val="2001"/>
        </w:smartTagPr>
        <w:r w:rsidR="00D861E0">
          <w:rPr>
            <w:sz w:val="22"/>
            <w:szCs w:val="22"/>
          </w:rPr>
          <w:t>September 2, 2001</w:t>
        </w:r>
      </w:smartTag>
    </w:p>
    <w:p w14:paraId="03B86E0F" w14:textId="77777777" w:rsidR="005B4320" w:rsidRDefault="005B4320" w:rsidP="00D861E0">
      <w:pPr>
        <w:tabs>
          <w:tab w:val="left" w:pos="720"/>
          <w:tab w:val="left" w:pos="1440"/>
          <w:tab w:val="left" w:pos="2160"/>
          <w:tab w:val="left" w:pos="2880"/>
        </w:tabs>
        <w:ind w:left="720" w:firstLine="144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0"/>
          <w:attr w:name="Year" w:val="2005"/>
        </w:smartTagPr>
        <w:r>
          <w:rPr>
            <w:sz w:val="22"/>
            <w:szCs w:val="22"/>
          </w:rPr>
          <w:t>June 20, 2005</w:t>
        </w:r>
      </w:smartTag>
      <w:r>
        <w:rPr>
          <w:sz w:val="22"/>
          <w:szCs w:val="22"/>
        </w:rPr>
        <w:t xml:space="preserve"> – filing 2005-237</w:t>
      </w:r>
    </w:p>
    <w:p w14:paraId="5562F211" w14:textId="4FCEDA4B" w:rsidR="001C4EF8" w:rsidRDefault="006117C1" w:rsidP="006117C1">
      <w:pPr>
        <w:pStyle w:val="RulesBasisStatement"/>
        <w:ind w:left="2880"/>
      </w:pPr>
      <w:r>
        <w:t>April 27, 2014 – filing 2014-081</w:t>
      </w:r>
    </w:p>
    <w:p w14:paraId="4D994D6E" w14:textId="5815213C" w:rsidR="000D18CA" w:rsidRDefault="000D18CA" w:rsidP="006117C1">
      <w:pPr>
        <w:pStyle w:val="RulesBasisStatement"/>
        <w:ind w:left="2880"/>
      </w:pPr>
      <w:r>
        <w:t>March 13, 2023 – filing 2023-04</w:t>
      </w:r>
      <w:r w:rsidR="009A2010">
        <w:t>2</w:t>
      </w:r>
    </w:p>
    <w:sectPr w:rsidR="000D18CA" w:rsidSect="00325CD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8714" w14:textId="77777777" w:rsidR="00C95FD1" w:rsidRDefault="00C95FD1">
      <w:r>
        <w:separator/>
      </w:r>
    </w:p>
  </w:endnote>
  <w:endnote w:type="continuationSeparator" w:id="0">
    <w:p w14:paraId="002D3E5C" w14:textId="77777777" w:rsidR="00C95FD1" w:rsidRDefault="00C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764C" w14:textId="77777777" w:rsidR="00FE1E3B" w:rsidRDefault="00FE1E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E1322" w14:textId="77777777" w:rsidR="00FE1E3B" w:rsidRDefault="00FE1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174E" w14:textId="77777777" w:rsidR="00FE1E3B" w:rsidRDefault="00FE1E3B" w:rsidP="00F17488">
    <w:pPr>
      <w:pStyle w:val="Footer"/>
      <w:jc w:val="center"/>
    </w:pPr>
  </w:p>
  <w:p w14:paraId="48B7D657" w14:textId="77777777" w:rsidR="00FE1E3B" w:rsidRDefault="00FE1E3B" w:rsidP="00F17488">
    <w:pPr>
      <w:pStyle w:val="Footer"/>
      <w:pBdr>
        <w:top w:val="single" w:sz="4" w:space="1" w:color="auto"/>
      </w:pBdr>
      <w:jc w:val="center"/>
    </w:pPr>
  </w:p>
  <w:p w14:paraId="4FA69AA0" w14:textId="77777777" w:rsidR="00FE1E3B" w:rsidRDefault="00FE1E3B" w:rsidP="00325CD8">
    <w:pPr>
      <w:pStyle w:val="Footer"/>
      <w:jc w:val="center"/>
    </w:pPr>
    <w:r>
      <w:t>Chapter 143: New Source Performance Standards (NSPS)</w:t>
    </w:r>
  </w:p>
  <w:p w14:paraId="4586CFDB" w14:textId="77777777" w:rsidR="00FE1E3B" w:rsidRDefault="00FE1E3B">
    <w:pPr>
      <w:pStyle w:val="Footer"/>
      <w:jc w:val="center"/>
    </w:pPr>
  </w:p>
  <w:p w14:paraId="5FE0D554" w14:textId="77777777" w:rsidR="00FE1E3B" w:rsidRDefault="00FE1E3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7081">
      <w:rPr>
        <w:rStyle w:val="PageNumber"/>
        <w:noProof/>
      </w:rPr>
      <w:t>5</w:t>
    </w:r>
    <w:r>
      <w:rPr>
        <w:rStyle w:val="PageNumber"/>
      </w:rPr>
      <w:fldChar w:fldCharType="end"/>
    </w:r>
  </w:p>
  <w:p w14:paraId="4F64F060" w14:textId="77777777" w:rsidR="00FE1E3B" w:rsidRDefault="00FE1E3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01A1" w14:textId="77777777" w:rsidR="00FE1E3B" w:rsidRDefault="00FE1E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4DFE" w14:textId="77777777" w:rsidR="00C95FD1" w:rsidRDefault="00C95FD1">
      <w:r>
        <w:separator/>
      </w:r>
    </w:p>
  </w:footnote>
  <w:footnote w:type="continuationSeparator" w:id="0">
    <w:p w14:paraId="70CA28F7" w14:textId="77777777" w:rsidR="00C95FD1" w:rsidRDefault="00C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11C5" w14:textId="77777777" w:rsidR="00FE1E3B" w:rsidRPr="00325CD8" w:rsidRDefault="00FE1E3B" w:rsidP="00325CD8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73E48715" w14:textId="77777777" w:rsidR="00FE1E3B" w:rsidRPr="00325CD8" w:rsidRDefault="00FE1E3B" w:rsidP="00325CD8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211F2CA3" w14:textId="77777777" w:rsidR="00FE1E3B" w:rsidRPr="00325CD8" w:rsidRDefault="00FE1E3B" w:rsidP="00325CD8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4400345E" w14:textId="77777777" w:rsidR="00FE1E3B" w:rsidRPr="00325CD8" w:rsidRDefault="00FE1E3B" w:rsidP="00325CD8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325CD8">
      <w:rPr>
        <w:sz w:val="18"/>
        <w:szCs w:val="18"/>
      </w:rPr>
      <w:t>06-096</w:t>
    </w:r>
    <w:r>
      <w:rPr>
        <w:sz w:val="18"/>
        <w:szCs w:val="18"/>
      </w:rPr>
      <w:t xml:space="preserve"> - Department of Environmental Protection:</w:t>
    </w:r>
    <w:r w:rsidRPr="00325CD8">
      <w:rPr>
        <w:sz w:val="18"/>
        <w:szCs w:val="18"/>
      </w:rPr>
      <w:t xml:space="preserve"> Chapter 143</w:t>
    </w:r>
    <w:r>
      <w:rPr>
        <w:sz w:val="18"/>
        <w:szCs w:val="18"/>
      </w:rPr>
      <w:t>, New Source Performance Standards (NSPS)</w:t>
    </w:r>
    <w:r w:rsidRPr="00325CD8">
      <w:rPr>
        <w:sz w:val="18"/>
        <w:szCs w:val="18"/>
      </w:rPr>
      <w:t xml:space="preserve">     page </w:t>
    </w:r>
    <w:r w:rsidRPr="00325CD8">
      <w:rPr>
        <w:rStyle w:val="PageNumber"/>
        <w:sz w:val="18"/>
        <w:szCs w:val="18"/>
      </w:rPr>
      <w:fldChar w:fldCharType="begin"/>
    </w:r>
    <w:r w:rsidRPr="00325CD8">
      <w:rPr>
        <w:rStyle w:val="PageNumber"/>
        <w:sz w:val="18"/>
        <w:szCs w:val="18"/>
      </w:rPr>
      <w:instrText xml:space="preserve"> PAGE </w:instrText>
    </w:r>
    <w:r w:rsidRPr="00325CD8">
      <w:rPr>
        <w:rStyle w:val="PageNumber"/>
        <w:sz w:val="18"/>
        <w:szCs w:val="18"/>
      </w:rPr>
      <w:fldChar w:fldCharType="separate"/>
    </w:r>
    <w:r w:rsidR="00417081">
      <w:rPr>
        <w:rStyle w:val="PageNumber"/>
        <w:noProof/>
        <w:sz w:val="18"/>
        <w:szCs w:val="18"/>
      </w:rPr>
      <w:t>5</w:t>
    </w:r>
    <w:r w:rsidRPr="00325CD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5B0E" w14:textId="77777777" w:rsidR="00FE1E3B" w:rsidRDefault="00FE1E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5B5B"/>
    <w:multiLevelType w:val="hybridMultilevel"/>
    <w:tmpl w:val="AA308A98"/>
    <w:lvl w:ilvl="0" w:tplc="4CC8F4F8">
      <w:start w:val="84"/>
      <w:numFmt w:val="decimal"/>
      <w:lvlText w:val="(%1)"/>
      <w:lvlJc w:val="left"/>
      <w:pPr>
        <w:ind w:left="156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CFA2FC9"/>
    <w:multiLevelType w:val="singleLevel"/>
    <w:tmpl w:val="E36A15B8"/>
    <w:lvl w:ilvl="0">
      <w:start w:val="10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2DA845B0"/>
    <w:multiLevelType w:val="singleLevel"/>
    <w:tmpl w:val="58EA638A"/>
    <w:lvl w:ilvl="0">
      <w:start w:val="72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 w15:restartNumberingAfterBreak="0">
    <w:nsid w:val="31041626"/>
    <w:multiLevelType w:val="hybridMultilevel"/>
    <w:tmpl w:val="EDE2B5BE"/>
    <w:lvl w:ilvl="0" w:tplc="568827EC">
      <w:start w:val="80"/>
      <w:numFmt w:val="decimal"/>
      <w:lvlText w:val="(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C5457D"/>
    <w:multiLevelType w:val="hybridMultilevel"/>
    <w:tmpl w:val="C90E9516"/>
    <w:lvl w:ilvl="0" w:tplc="D4020540">
      <w:start w:val="83"/>
      <w:numFmt w:val="decimal"/>
      <w:lvlText w:val="(%1)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A2142A9"/>
    <w:multiLevelType w:val="singleLevel"/>
    <w:tmpl w:val="6ABE647A"/>
    <w:lvl w:ilvl="0">
      <w:start w:val="7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F2E4FBF"/>
    <w:multiLevelType w:val="hybridMultilevel"/>
    <w:tmpl w:val="74F2DA96"/>
    <w:lvl w:ilvl="0" w:tplc="47C4B3F6">
      <w:start w:val="80"/>
      <w:numFmt w:val="decimal"/>
      <w:lvlText w:val="(%1)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854488806">
    <w:abstractNumId w:val="2"/>
  </w:num>
  <w:num w:numId="2" w16cid:durableId="2091151293">
    <w:abstractNumId w:val="1"/>
  </w:num>
  <w:num w:numId="3" w16cid:durableId="1914319554">
    <w:abstractNumId w:val="5"/>
  </w:num>
  <w:num w:numId="4" w16cid:durableId="2032950834">
    <w:abstractNumId w:val="3"/>
  </w:num>
  <w:num w:numId="5" w16cid:durableId="1818913445">
    <w:abstractNumId w:val="6"/>
  </w:num>
  <w:num w:numId="6" w16cid:durableId="221061993">
    <w:abstractNumId w:val="4"/>
  </w:num>
  <w:num w:numId="7" w16cid:durableId="60268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C7"/>
    <w:rsid w:val="000D18CA"/>
    <w:rsid w:val="000D61CD"/>
    <w:rsid w:val="000F7905"/>
    <w:rsid w:val="0010176B"/>
    <w:rsid w:val="00157B19"/>
    <w:rsid w:val="001662E8"/>
    <w:rsid w:val="00176A35"/>
    <w:rsid w:val="001C4EF8"/>
    <w:rsid w:val="001F060E"/>
    <w:rsid w:val="001F372E"/>
    <w:rsid w:val="00211E3C"/>
    <w:rsid w:val="002A3BDD"/>
    <w:rsid w:val="002B35F5"/>
    <w:rsid w:val="002E3C74"/>
    <w:rsid w:val="002E5CDD"/>
    <w:rsid w:val="002F2266"/>
    <w:rsid w:val="00304623"/>
    <w:rsid w:val="00325CD8"/>
    <w:rsid w:val="0033716D"/>
    <w:rsid w:val="00342287"/>
    <w:rsid w:val="00361A43"/>
    <w:rsid w:val="00370798"/>
    <w:rsid w:val="003821CB"/>
    <w:rsid w:val="00391811"/>
    <w:rsid w:val="003C53D2"/>
    <w:rsid w:val="003F5A97"/>
    <w:rsid w:val="00417081"/>
    <w:rsid w:val="004371D7"/>
    <w:rsid w:val="00447919"/>
    <w:rsid w:val="004551A7"/>
    <w:rsid w:val="00455BF8"/>
    <w:rsid w:val="004D01E4"/>
    <w:rsid w:val="004E0B88"/>
    <w:rsid w:val="004E3A24"/>
    <w:rsid w:val="004F3FDE"/>
    <w:rsid w:val="0055329E"/>
    <w:rsid w:val="00577BEA"/>
    <w:rsid w:val="005B4320"/>
    <w:rsid w:val="005C094E"/>
    <w:rsid w:val="005F1EA9"/>
    <w:rsid w:val="00605022"/>
    <w:rsid w:val="006117C1"/>
    <w:rsid w:val="00617000"/>
    <w:rsid w:val="00617F4A"/>
    <w:rsid w:val="00635A63"/>
    <w:rsid w:val="0063742B"/>
    <w:rsid w:val="00680273"/>
    <w:rsid w:val="00692AA1"/>
    <w:rsid w:val="006D5168"/>
    <w:rsid w:val="0070288C"/>
    <w:rsid w:val="0077096E"/>
    <w:rsid w:val="0078670F"/>
    <w:rsid w:val="00807029"/>
    <w:rsid w:val="00883DDD"/>
    <w:rsid w:val="00895EC7"/>
    <w:rsid w:val="008C64D6"/>
    <w:rsid w:val="00943A9E"/>
    <w:rsid w:val="009971D4"/>
    <w:rsid w:val="009A2010"/>
    <w:rsid w:val="009B7291"/>
    <w:rsid w:val="009C5BBE"/>
    <w:rsid w:val="00A374D1"/>
    <w:rsid w:val="00A62411"/>
    <w:rsid w:val="00AB013B"/>
    <w:rsid w:val="00AB01D3"/>
    <w:rsid w:val="00AC129D"/>
    <w:rsid w:val="00AC1CF4"/>
    <w:rsid w:val="00B0633B"/>
    <w:rsid w:val="00B120A8"/>
    <w:rsid w:val="00B2523D"/>
    <w:rsid w:val="00B33A5D"/>
    <w:rsid w:val="00B709F5"/>
    <w:rsid w:val="00B86B47"/>
    <w:rsid w:val="00C004D6"/>
    <w:rsid w:val="00C31C1F"/>
    <w:rsid w:val="00C507F6"/>
    <w:rsid w:val="00C9573E"/>
    <w:rsid w:val="00C95FD1"/>
    <w:rsid w:val="00CD6EA9"/>
    <w:rsid w:val="00CF1BFB"/>
    <w:rsid w:val="00CF50FC"/>
    <w:rsid w:val="00D15528"/>
    <w:rsid w:val="00D17606"/>
    <w:rsid w:val="00D562AD"/>
    <w:rsid w:val="00D823C5"/>
    <w:rsid w:val="00D82AF8"/>
    <w:rsid w:val="00D861E0"/>
    <w:rsid w:val="00DB7FE6"/>
    <w:rsid w:val="00DE6A5C"/>
    <w:rsid w:val="00DF50BA"/>
    <w:rsid w:val="00E870ED"/>
    <w:rsid w:val="00EA18DF"/>
    <w:rsid w:val="00EA7A2B"/>
    <w:rsid w:val="00EC21DF"/>
    <w:rsid w:val="00F17488"/>
    <w:rsid w:val="00F17FD4"/>
    <w:rsid w:val="00FA0FEE"/>
    <w:rsid w:val="00FC2067"/>
    <w:rsid w:val="00FC3B70"/>
    <w:rsid w:val="00FE1E3B"/>
    <w:rsid w:val="00FE6DE2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95C19DC"/>
  <w15:chartTrackingRefBased/>
  <w15:docId w15:val="{618FD218-6F44-49E1-8AFF-4F99E58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ulesAuthorityEffec">
    <w:name w:val="Rules: Authority &amp; Effec"/>
    <w:basedOn w:val="Normal"/>
    <w:pPr>
      <w:ind w:left="4320" w:hanging="2160"/>
      <w:jc w:val="both"/>
    </w:pPr>
    <w:rPr>
      <w:sz w:val="22"/>
    </w:rPr>
  </w:style>
  <w:style w:type="paragraph" w:customStyle="1" w:styleId="RulesBasisStatement">
    <w:name w:val="Rules: Basis Statement"/>
    <w:basedOn w:val="Normal"/>
    <w:pPr>
      <w:jc w:val="both"/>
    </w:pPr>
    <w:rPr>
      <w:sz w:val="22"/>
    </w:rPr>
  </w:style>
  <w:style w:type="paragraph" w:customStyle="1" w:styleId="RulesNotesub-div">
    <w:name w:val="Rules: Note (sub-div)"/>
    <w:basedOn w:val="Normal"/>
    <w:pPr>
      <w:ind w:left="2520" w:hanging="720"/>
      <w:jc w:val="both"/>
    </w:pPr>
    <w:rPr>
      <w:sz w:val="22"/>
    </w:rPr>
  </w:style>
  <w:style w:type="paragraph" w:styleId="BodyText">
    <w:name w:val="Body Text"/>
    <w:basedOn w:val="Normal"/>
    <w:pPr>
      <w:tabs>
        <w:tab w:val="left" w:pos="0"/>
      </w:tabs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2790"/>
      </w:tabs>
      <w:ind w:left="720" w:hanging="36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95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29D"/>
    <w:pPr>
      <w:ind w:left="720"/>
    </w:pPr>
  </w:style>
  <w:style w:type="character" w:styleId="CommentReference">
    <w:name w:val="annotation reference"/>
    <w:uiPriority w:val="99"/>
    <w:semiHidden/>
    <w:unhideWhenUsed/>
    <w:rsid w:val="00605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022"/>
  </w:style>
  <w:style w:type="character" w:customStyle="1" w:styleId="CommentTextChar">
    <w:name w:val="Comment Text Char"/>
    <w:link w:val="CommentText"/>
    <w:uiPriority w:val="99"/>
    <w:semiHidden/>
    <w:rsid w:val="0060502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0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5022"/>
    <w:rPr>
      <w:b/>
      <w:bCs/>
      <w:lang w:eastAsia="zh-CN"/>
    </w:rPr>
  </w:style>
  <w:style w:type="character" w:styleId="Hyperlink">
    <w:name w:val="Hyperlink"/>
    <w:uiPriority w:val="99"/>
    <w:unhideWhenUsed/>
    <w:rsid w:val="003422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287"/>
    <w:rPr>
      <w:color w:val="605E5C"/>
      <w:shd w:val="clear" w:color="auto" w:fill="E1DFDD"/>
    </w:rPr>
  </w:style>
  <w:style w:type="paragraph" w:customStyle="1" w:styleId="RulesSection">
    <w:name w:val="Rules: Section"/>
    <w:basedOn w:val="Normal"/>
    <w:rsid w:val="004E3A24"/>
    <w:pPr>
      <w:ind w:left="360" w:hanging="360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06-096</vt:lpstr>
    </vt:vector>
  </TitlesOfParts>
  <Company>DEP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06-096</dc:title>
  <dc:subject/>
  <dc:creator>Dep</dc:creator>
  <cp:keywords/>
  <cp:lastModifiedBy>Wismer, Don</cp:lastModifiedBy>
  <cp:revision>3</cp:revision>
  <cp:lastPrinted>2022-08-16T20:42:00Z</cp:lastPrinted>
  <dcterms:created xsi:type="dcterms:W3CDTF">2023-03-21T20:53:00Z</dcterms:created>
  <dcterms:modified xsi:type="dcterms:W3CDTF">2023-03-21T21:12:00Z</dcterms:modified>
</cp:coreProperties>
</file>