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E067" w14:textId="63ABA303" w:rsidR="00E32518" w:rsidRPr="005218A0" w:rsidRDefault="00E32518" w:rsidP="00412731">
      <w:pPr>
        <w:rPr>
          <w:rFonts w:ascii="Times New Roman" w:hAnsi="Times New Roman"/>
          <w:b/>
          <w:bCs/>
          <w:sz w:val="22"/>
          <w:szCs w:val="22"/>
        </w:rPr>
      </w:pPr>
      <w:r w:rsidRPr="00412731">
        <w:rPr>
          <w:rFonts w:ascii="Times New Roman" w:hAnsi="Times New Roman"/>
          <w:b/>
          <w:bCs/>
          <w:sz w:val="22"/>
          <w:szCs w:val="22"/>
        </w:rPr>
        <w:t>02</w:t>
      </w:r>
      <w:r w:rsidRPr="00412731">
        <w:rPr>
          <w:rFonts w:ascii="Times New Roman" w:hAnsi="Times New Roman"/>
          <w:b/>
          <w:bCs/>
          <w:sz w:val="22"/>
          <w:szCs w:val="22"/>
        </w:rPr>
        <w:tab/>
      </w:r>
      <w:r w:rsidR="00412731" w:rsidRPr="00412731">
        <w:rPr>
          <w:rFonts w:ascii="Times New Roman" w:hAnsi="Times New Roman"/>
          <w:b/>
          <w:bCs/>
          <w:sz w:val="22"/>
          <w:szCs w:val="22"/>
        </w:rPr>
        <w:tab/>
      </w:r>
      <w:r w:rsidRPr="00412731">
        <w:rPr>
          <w:rFonts w:ascii="Times New Roman" w:hAnsi="Times New Roman"/>
          <w:b/>
          <w:bCs/>
          <w:sz w:val="22"/>
          <w:szCs w:val="22"/>
        </w:rPr>
        <w:t>DEPAR</w:t>
      </w:r>
      <w:r w:rsidRPr="005218A0">
        <w:rPr>
          <w:rFonts w:ascii="Times New Roman" w:hAnsi="Times New Roman"/>
          <w:b/>
          <w:bCs/>
          <w:sz w:val="22"/>
          <w:szCs w:val="22"/>
        </w:rPr>
        <w:t>TMENT OF PROFESSIONAL AND FINANCIAL REGULATION</w:t>
      </w:r>
    </w:p>
    <w:p w14:paraId="0127B28D" w14:textId="77777777" w:rsidR="00E32518" w:rsidRPr="005218A0" w:rsidRDefault="00E32518" w:rsidP="00412731">
      <w:pPr>
        <w:rPr>
          <w:rFonts w:ascii="Times New Roman" w:hAnsi="Times New Roman"/>
          <w:b/>
          <w:bCs/>
          <w:sz w:val="22"/>
          <w:szCs w:val="22"/>
        </w:rPr>
      </w:pPr>
    </w:p>
    <w:p w14:paraId="6AF98A9C" w14:textId="4A99A32C" w:rsidR="00E32518" w:rsidRPr="005218A0" w:rsidRDefault="00E32518" w:rsidP="00412731">
      <w:pPr>
        <w:rPr>
          <w:rFonts w:ascii="Times New Roman" w:hAnsi="Times New Roman"/>
          <w:b/>
          <w:bCs/>
          <w:sz w:val="22"/>
          <w:szCs w:val="22"/>
        </w:rPr>
      </w:pPr>
      <w:r w:rsidRPr="005218A0">
        <w:rPr>
          <w:rFonts w:ascii="Times New Roman" w:hAnsi="Times New Roman"/>
          <w:b/>
          <w:bCs/>
          <w:sz w:val="22"/>
          <w:szCs w:val="22"/>
        </w:rPr>
        <w:t>031</w:t>
      </w:r>
      <w:r w:rsidRPr="005218A0">
        <w:rPr>
          <w:rFonts w:ascii="Times New Roman" w:hAnsi="Times New Roman"/>
          <w:b/>
          <w:bCs/>
          <w:sz w:val="22"/>
          <w:szCs w:val="22"/>
        </w:rPr>
        <w:tab/>
      </w:r>
      <w:r w:rsidR="00412731" w:rsidRPr="005218A0">
        <w:rPr>
          <w:rFonts w:ascii="Times New Roman" w:hAnsi="Times New Roman"/>
          <w:b/>
          <w:bCs/>
          <w:sz w:val="22"/>
          <w:szCs w:val="22"/>
        </w:rPr>
        <w:tab/>
      </w:r>
      <w:r w:rsidRPr="005218A0">
        <w:rPr>
          <w:rFonts w:ascii="Times New Roman" w:hAnsi="Times New Roman"/>
          <w:b/>
          <w:bCs/>
          <w:sz w:val="22"/>
          <w:szCs w:val="22"/>
        </w:rPr>
        <w:t>BUREAU OF INSURANCE</w:t>
      </w:r>
    </w:p>
    <w:p w14:paraId="02477624" w14:textId="77777777" w:rsidR="00E32518" w:rsidRPr="005218A0" w:rsidRDefault="00E32518" w:rsidP="00412731">
      <w:pPr>
        <w:rPr>
          <w:rFonts w:ascii="Times New Roman" w:hAnsi="Times New Roman"/>
          <w:b/>
          <w:bCs/>
          <w:sz w:val="22"/>
          <w:szCs w:val="22"/>
        </w:rPr>
      </w:pPr>
    </w:p>
    <w:p w14:paraId="0A8BFEA6" w14:textId="2250E643" w:rsidR="00E32518" w:rsidRPr="005218A0" w:rsidRDefault="00E32518" w:rsidP="00412731">
      <w:pPr>
        <w:ind w:left="1440" w:hanging="1440"/>
        <w:rPr>
          <w:rFonts w:ascii="Times New Roman" w:hAnsi="Times New Roman"/>
          <w:b/>
          <w:bCs/>
          <w:sz w:val="22"/>
          <w:szCs w:val="22"/>
        </w:rPr>
      </w:pPr>
      <w:r w:rsidRPr="005218A0">
        <w:rPr>
          <w:rFonts w:ascii="Times New Roman" w:hAnsi="Times New Roman"/>
          <w:b/>
          <w:bCs/>
          <w:sz w:val="22"/>
          <w:szCs w:val="22"/>
        </w:rPr>
        <w:t xml:space="preserve">Chapter </w:t>
      </w:r>
      <w:r w:rsidR="00D5748C" w:rsidRPr="005218A0">
        <w:rPr>
          <w:rFonts w:ascii="Times New Roman" w:hAnsi="Times New Roman"/>
          <w:b/>
          <w:bCs/>
          <w:sz w:val="22"/>
          <w:szCs w:val="22"/>
        </w:rPr>
        <w:t>851</w:t>
      </w:r>
      <w:r w:rsidRPr="005218A0">
        <w:rPr>
          <w:rFonts w:ascii="Times New Roman" w:hAnsi="Times New Roman"/>
          <w:b/>
          <w:bCs/>
          <w:sz w:val="22"/>
          <w:szCs w:val="22"/>
        </w:rPr>
        <w:tab/>
      </w:r>
      <w:r w:rsidR="00D5748C" w:rsidRPr="005218A0">
        <w:rPr>
          <w:rFonts w:ascii="Times New Roman" w:hAnsi="Times New Roman"/>
          <w:b/>
          <w:bCs/>
          <w:caps/>
          <w:sz w:val="22"/>
          <w:szCs w:val="22"/>
        </w:rPr>
        <w:t>Clear Choice Designs for Individual and Small Group Health Plans</w:t>
      </w:r>
    </w:p>
    <w:p w14:paraId="37B4E94B" w14:textId="77777777" w:rsidR="00E32518" w:rsidRPr="005218A0" w:rsidRDefault="00E32518" w:rsidP="00412731">
      <w:pPr>
        <w:pBdr>
          <w:bottom w:val="single" w:sz="4" w:space="1" w:color="auto"/>
        </w:pBdr>
        <w:rPr>
          <w:rFonts w:ascii="Times New Roman" w:hAnsi="Times New Roman"/>
          <w:sz w:val="22"/>
          <w:szCs w:val="22"/>
        </w:rPr>
      </w:pPr>
    </w:p>
    <w:p w14:paraId="3266BB8D" w14:textId="77777777" w:rsidR="00E32518" w:rsidRPr="005218A0" w:rsidRDefault="00E32518" w:rsidP="00E32518">
      <w:pPr>
        <w:rPr>
          <w:rFonts w:ascii="Times New Roman" w:hAnsi="Times New Roman"/>
          <w:sz w:val="22"/>
          <w:szCs w:val="22"/>
        </w:rPr>
      </w:pPr>
    </w:p>
    <w:p w14:paraId="2A35EE8F" w14:textId="77777777" w:rsidR="00E32518" w:rsidRPr="005218A0" w:rsidRDefault="00E32518" w:rsidP="00E32518">
      <w:pPr>
        <w:rPr>
          <w:rFonts w:ascii="Times New Roman" w:hAnsi="Times New Roman"/>
          <w:sz w:val="22"/>
          <w:szCs w:val="22"/>
        </w:rPr>
      </w:pPr>
    </w:p>
    <w:p w14:paraId="720DB1B9" w14:textId="060E3FDB" w:rsidR="00E32518" w:rsidRPr="005218A0" w:rsidRDefault="00E32518" w:rsidP="00E32518">
      <w:pPr>
        <w:rPr>
          <w:rFonts w:ascii="Times New Roman" w:hAnsi="Times New Roman"/>
          <w:b/>
          <w:bCs/>
          <w:sz w:val="22"/>
          <w:szCs w:val="22"/>
        </w:rPr>
      </w:pPr>
      <w:r w:rsidRPr="005218A0">
        <w:rPr>
          <w:rFonts w:ascii="Times New Roman" w:hAnsi="Times New Roman"/>
          <w:b/>
          <w:bCs/>
          <w:sz w:val="22"/>
          <w:szCs w:val="22"/>
        </w:rPr>
        <w:t>T</w:t>
      </w:r>
      <w:r w:rsidR="00EB2875" w:rsidRPr="005218A0">
        <w:rPr>
          <w:rFonts w:ascii="Times New Roman" w:hAnsi="Times New Roman"/>
          <w:b/>
          <w:bCs/>
          <w:sz w:val="22"/>
          <w:szCs w:val="22"/>
        </w:rPr>
        <w:t xml:space="preserve">ABLE OF CONTENTS </w:t>
      </w:r>
    </w:p>
    <w:p w14:paraId="1267F4E1" w14:textId="77777777" w:rsidR="00E32518" w:rsidRPr="005218A0" w:rsidRDefault="00E32518" w:rsidP="00E32518">
      <w:pPr>
        <w:rPr>
          <w:rFonts w:ascii="Times New Roman" w:hAnsi="Times New Roman"/>
          <w:sz w:val="22"/>
          <w:szCs w:val="22"/>
        </w:rPr>
      </w:pPr>
    </w:p>
    <w:p w14:paraId="392A1A27" w14:textId="150A1289"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1.</w:t>
      </w:r>
      <w:r w:rsidRPr="005218A0">
        <w:rPr>
          <w:rFonts w:ascii="Times New Roman" w:hAnsi="Times New Roman"/>
          <w:sz w:val="22"/>
          <w:szCs w:val="22"/>
        </w:rPr>
        <w:tab/>
        <w:t>Authority and Purpose</w:t>
      </w:r>
    </w:p>
    <w:p w14:paraId="1F3A2FC6" w14:textId="3E75D9C7"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2.</w:t>
      </w:r>
      <w:r w:rsidRPr="005218A0">
        <w:rPr>
          <w:rFonts w:ascii="Times New Roman" w:hAnsi="Times New Roman"/>
          <w:sz w:val="22"/>
          <w:szCs w:val="22"/>
        </w:rPr>
        <w:tab/>
        <w:t xml:space="preserve">Applicability and </w:t>
      </w:r>
      <w:r w:rsidR="007D64FD" w:rsidRPr="005218A0">
        <w:rPr>
          <w:rFonts w:ascii="Times New Roman" w:hAnsi="Times New Roman"/>
          <w:sz w:val="22"/>
          <w:szCs w:val="22"/>
        </w:rPr>
        <w:t>S</w:t>
      </w:r>
      <w:r w:rsidRPr="005218A0">
        <w:rPr>
          <w:rFonts w:ascii="Times New Roman" w:hAnsi="Times New Roman"/>
          <w:sz w:val="22"/>
          <w:szCs w:val="22"/>
        </w:rPr>
        <w:t>cope</w:t>
      </w:r>
    </w:p>
    <w:p w14:paraId="16477E19" w14:textId="7EE5EAC8"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3.</w:t>
      </w:r>
      <w:r w:rsidRPr="005218A0">
        <w:rPr>
          <w:rFonts w:ascii="Times New Roman" w:hAnsi="Times New Roman"/>
          <w:sz w:val="22"/>
          <w:szCs w:val="22"/>
        </w:rPr>
        <w:tab/>
        <w:t>Definitions</w:t>
      </w:r>
    </w:p>
    <w:p w14:paraId="4FBD3D47" w14:textId="439B5FC1"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4.</w:t>
      </w:r>
      <w:r w:rsidRPr="005218A0">
        <w:rPr>
          <w:rFonts w:ascii="Times New Roman" w:hAnsi="Times New Roman"/>
          <w:sz w:val="22"/>
          <w:szCs w:val="22"/>
        </w:rPr>
        <w:tab/>
      </w:r>
      <w:r w:rsidR="00B04012" w:rsidRPr="005218A0">
        <w:rPr>
          <w:rFonts w:ascii="Times New Roman" w:hAnsi="Times New Roman"/>
          <w:sz w:val="22"/>
          <w:szCs w:val="22"/>
        </w:rPr>
        <w:t>General</w:t>
      </w:r>
      <w:r w:rsidR="00F1378D" w:rsidRPr="005218A0">
        <w:rPr>
          <w:rFonts w:ascii="Times New Roman" w:hAnsi="Times New Roman"/>
          <w:sz w:val="22"/>
          <w:szCs w:val="22"/>
        </w:rPr>
        <w:t xml:space="preserve"> Provisions</w:t>
      </w:r>
    </w:p>
    <w:p w14:paraId="29E4AF7A" w14:textId="4AA4296D"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5.</w:t>
      </w:r>
      <w:r w:rsidRPr="005218A0">
        <w:rPr>
          <w:rFonts w:ascii="Times New Roman" w:hAnsi="Times New Roman"/>
          <w:sz w:val="22"/>
          <w:szCs w:val="22"/>
        </w:rPr>
        <w:tab/>
      </w:r>
      <w:r w:rsidR="008C7523" w:rsidRPr="005218A0">
        <w:rPr>
          <w:rFonts w:ascii="Times New Roman" w:hAnsi="Times New Roman"/>
          <w:sz w:val="22"/>
          <w:szCs w:val="22"/>
        </w:rPr>
        <w:t>Clear Choice Plans</w:t>
      </w:r>
    </w:p>
    <w:p w14:paraId="5CD6261B" w14:textId="78977AE3" w:rsidR="002B1488" w:rsidRPr="005218A0" w:rsidRDefault="002B1488" w:rsidP="007D64FD">
      <w:pPr>
        <w:rPr>
          <w:rFonts w:ascii="Times New Roman" w:hAnsi="Times New Roman"/>
          <w:sz w:val="22"/>
          <w:szCs w:val="22"/>
        </w:rPr>
      </w:pPr>
      <w:r w:rsidRPr="005218A0">
        <w:rPr>
          <w:rFonts w:ascii="Times New Roman" w:hAnsi="Times New Roman"/>
          <w:sz w:val="22"/>
          <w:szCs w:val="22"/>
        </w:rPr>
        <w:t xml:space="preserve">Section </w:t>
      </w:r>
      <w:r w:rsidR="00256772" w:rsidRPr="005218A0">
        <w:rPr>
          <w:rFonts w:ascii="Times New Roman" w:hAnsi="Times New Roman"/>
          <w:sz w:val="22"/>
          <w:szCs w:val="22"/>
        </w:rPr>
        <w:t>6</w:t>
      </w:r>
      <w:r w:rsidRPr="005218A0">
        <w:rPr>
          <w:rFonts w:ascii="Times New Roman" w:hAnsi="Times New Roman"/>
          <w:sz w:val="22"/>
          <w:szCs w:val="22"/>
        </w:rPr>
        <w:t>.</w:t>
      </w:r>
      <w:r w:rsidRPr="005218A0">
        <w:rPr>
          <w:rFonts w:ascii="Times New Roman" w:hAnsi="Times New Roman"/>
          <w:sz w:val="22"/>
          <w:szCs w:val="22"/>
        </w:rPr>
        <w:tab/>
      </w:r>
      <w:r w:rsidR="002348E0" w:rsidRPr="005218A0">
        <w:rPr>
          <w:rFonts w:ascii="Times New Roman" w:hAnsi="Times New Roman"/>
          <w:sz w:val="22"/>
          <w:szCs w:val="22"/>
        </w:rPr>
        <w:t>Alternative Plan Designs</w:t>
      </w:r>
    </w:p>
    <w:p w14:paraId="3E8604B1" w14:textId="3FFBAB09" w:rsidR="007D64FD" w:rsidRPr="005218A0" w:rsidRDefault="007D64FD" w:rsidP="007D64FD">
      <w:pPr>
        <w:rPr>
          <w:rFonts w:ascii="Times New Roman" w:hAnsi="Times New Roman"/>
          <w:sz w:val="22"/>
          <w:szCs w:val="22"/>
        </w:rPr>
      </w:pPr>
      <w:r w:rsidRPr="005218A0">
        <w:rPr>
          <w:rFonts w:ascii="Times New Roman" w:hAnsi="Times New Roman"/>
          <w:sz w:val="22"/>
          <w:szCs w:val="22"/>
        </w:rPr>
        <w:t xml:space="preserve">Section </w:t>
      </w:r>
      <w:r w:rsidR="00C11821" w:rsidRPr="005218A0">
        <w:rPr>
          <w:rFonts w:ascii="Times New Roman" w:hAnsi="Times New Roman"/>
          <w:sz w:val="22"/>
          <w:szCs w:val="22"/>
        </w:rPr>
        <w:t>7</w:t>
      </w:r>
      <w:r w:rsidRPr="005218A0">
        <w:rPr>
          <w:rFonts w:ascii="Times New Roman" w:hAnsi="Times New Roman"/>
          <w:sz w:val="22"/>
          <w:szCs w:val="22"/>
        </w:rPr>
        <w:t>.</w:t>
      </w:r>
      <w:r w:rsidRPr="005218A0">
        <w:rPr>
          <w:rFonts w:ascii="Times New Roman" w:hAnsi="Times New Roman"/>
          <w:sz w:val="22"/>
          <w:szCs w:val="22"/>
        </w:rPr>
        <w:tab/>
      </w:r>
      <w:r w:rsidR="00554252" w:rsidRPr="005218A0">
        <w:rPr>
          <w:rFonts w:ascii="Times New Roman" w:hAnsi="Times New Roman"/>
          <w:sz w:val="22"/>
          <w:szCs w:val="22"/>
        </w:rPr>
        <w:t>Severability</w:t>
      </w:r>
    </w:p>
    <w:p w14:paraId="7CBDF6B5" w14:textId="34DD5A20" w:rsidR="00554252" w:rsidRPr="005218A0" w:rsidRDefault="00554252" w:rsidP="007D64FD">
      <w:pPr>
        <w:rPr>
          <w:rFonts w:ascii="Times New Roman" w:hAnsi="Times New Roman"/>
          <w:sz w:val="22"/>
          <w:szCs w:val="22"/>
        </w:rPr>
      </w:pPr>
      <w:r w:rsidRPr="005218A0">
        <w:rPr>
          <w:rFonts w:ascii="Times New Roman" w:hAnsi="Times New Roman"/>
          <w:sz w:val="22"/>
          <w:szCs w:val="22"/>
        </w:rPr>
        <w:t xml:space="preserve">Section </w:t>
      </w:r>
      <w:r w:rsidR="00C11821" w:rsidRPr="005218A0">
        <w:rPr>
          <w:rFonts w:ascii="Times New Roman" w:hAnsi="Times New Roman"/>
          <w:sz w:val="22"/>
          <w:szCs w:val="22"/>
        </w:rPr>
        <w:t>8</w:t>
      </w:r>
      <w:r w:rsidRPr="005218A0">
        <w:rPr>
          <w:rFonts w:ascii="Times New Roman" w:hAnsi="Times New Roman"/>
          <w:sz w:val="22"/>
          <w:szCs w:val="22"/>
        </w:rPr>
        <w:t>.</w:t>
      </w:r>
      <w:r w:rsidRPr="005218A0">
        <w:rPr>
          <w:rFonts w:ascii="Times New Roman" w:hAnsi="Times New Roman"/>
          <w:sz w:val="22"/>
          <w:szCs w:val="22"/>
        </w:rPr>
        <w:tab/>
        <w:t>Effective date</w:t>
      </w:r>
    </w:p>
    <w:p w14:paraId="366ECC7F" w14:textId="77777777" w:rsidR="007D64FD" w:rsidRPr="005218A0" w:rsidRDefault="007D64FD" w:rsidP="00412731">
      <w:pPr>
        <w:pBdr>
          <w:bottom w:val="single" w:sz="4" w:space="1" w:color="auto"/>
        </w:pBdr>
        <w:rPr>
          <w:rFonts w:ascii="Times New Roman" w:hAnsi="Times New Roman"/>
          <w:sz w:val="22"/>
          <w:szCs w:val="22"/>
        </w:rPr>
      </w:pPr>
    </w:p>
    <w:p w14:paraId="53A807F1" w14:textId="4A30701F" w:rsidR="00E32518" w:rsidRPr="005218A0" w:rsidRDefault="00E32518" w:rsidP="00E32518">
      <w:pPr>
        <w:rPr>
          <w:rFonts w:ascii="Times New Roman" w:hAnsi="Times New Roman"/>
          <w:sz w:val="22"/>
          <w:szCs w:val="22"/>
        </w:rPr>
      </w:pPr>
    </w:p>
    <w:p w14:paraId="3F4A4461" w14:textId="77777777" w:rsidR="00412731" w:rsidRPr="005218A0" w:rsidRDefault="00412731" w:rsidP="00E32518">
      <w:pPr>
        <w:rPr>
          <w:rFonts w:ascii="Times New Roman" w:hAnsi="Times New Roman"/>
          <w:sz w:val="22"/>
          <w:szCs w:val="22"/>
        </w:rPr>
      </w:pPr>
    </w:p>
    <w:p w14:paraId="217FE19F" w14:textId="1F2E2564" w:rsidR="00E32518" w:rsidRPr="005218A0" w:rsidRDefault="00E32518" w:rsidP="00E32518">
      <w:pPr>
        <w:rPr>
          <w:rFonts w:ascii="Times New Roman" w:hAnsi="Times New Roman"/>
          <w:b/>
          <w:sz w:val="22"/>
          <w:szCs w:val="22"/>
        </w:rPr>
      </w:pPr>
      <w:r w:rsidRPr="005218A0">
        <w:rPr>
          <w:rFonts w:ascii="Times New Roman" w:hAnsi="Times New Roman"/>
          <w:b/>
          <w:sz w:val="22"/>
          <w:szCs w:val="22"/>
        </w:rPr>
        <w:t>Section 1.</w:t>
      </w:r>
      <w:r w:rsidR="002B1488" w:rsidRPr="005218A0">
        <w:rPr>
          <w:rFonts w:ascii="Times New Roman" w:hAnsi="Times New Roman"/>
          <w:b/>
          <w:sz w:val="22"/>
          <w:szCs w:val="22"/>
        </w:rPr>
        <w:tab/>
      </w:r>
      <w:r w:rsidRPr="005218A0">
        <w:rPr>
          <w:rFonts w:ascii="Times New Roman" w:hAnsi="Times New Roman"/>
          <w:b/>
          <w:sz w:val="22"/>
          <w:szCs w:val="22"/>
        </w:rPr>
        <w:t>Authority and Purpose</w:t>
      </w:r>
    </w:p>
    <w:p w14:paraId="41FF43F0" w14:textId="77777777" w:rsidR="00E32518" w:rsidRPr="005218A0" w:rsidRDefault="00E32518" w:rsidP="00E32518">
      <w:pPr>
        <w:rPr>
          <w:rFonts w:ascii="Times New Roman" w:hAnsi="Times New Roman"/>
          <w:sz w:val="22"/>
          <w:szCs w:val="22"/>
        </w:rPr>
      </w:pPr>
    </w:p>
    <w:p w14:paraId="78DE2A59" w14:textId="350544C9" w:rsidR="00E32518" w:rsidRPr="005218A0" w:rsidRDefault="00E32518" w:rsidP="00412731">
      <w:pPr>
        <w:ind w:left="720"/>
        <w:rPr>
          <w:rFonts w:ascii="Times New Roman" w:hAnsi="Times New Roman"/>
          <w:sz w:val="22"/>
          <w:szCs w:val="22"/>
        </w:rPr>
      </w:pPr>
      <w:r w:rsidRPr="005218A0">
        <w:rPr>
          <w:rFonts w:ascii="Times New Roman" w:hAnsi="Times New Roman"/>
          <w:sz w:val="22"/>
          <w:szCs w:val="22"/>
        </w:rPr>
        <w:t xml:space="preserve">This </w:t>
      </w:r>
      <w:r w:rsidR="0091620A" w:rsidRPr="005218A0">
        <w:rPr>
          <w:rFonts w:ascii="Times New Roman" w:hAnsi="Times New Roman"/>
          <w:sz w:val="22"/>
          <w:szCs w:val="22"/>
        </w:rPr>
        <w:t>r</w:t>
      </w:r>
      <w:r w:rsidRPr="005218A0">
        <w:rPr>
          <w:rFonts w:ascii="Times New Roman" w:hAnsi="Times New Roman"/>
          <w:sz w:val="22"/>
          <w:szCs w:val="22"/>
        </w:rPr>
        <w:t xml:space="preserve">ule is adopted pursuant to 24-A M.R.S. §§ 212 and </w:t>
      </w:r>
      <w:r w:rsidR="00D5748C" w:rsidRPr="005218A0">
        <w:rPr>
          <w:rFonts w:ascii="Times New Roman" w:hAnsi="Times New Roman"/>
          <w:sz w:val="22"/>
          <w:szCs w:val="22"/>
        </w:rPr>
        <w:t>2793</w:t>
      </w:r>
      <w:r w:rsidRPr="005218A0">
        <w:rPr>
          <w:rFonts w:ascii="Times New Roman" w:hAnsi="Times New Roman"/>
          <w:sz w:val="22"/>
          <w:szCs w:val="22"/>
        </w:rPr>
        <w:t xml:space="preserve">, </w:t>
      </w:r>
      <w:r w:rsidR="003F0575" w:rsidRPr="005218A0">
        <w:rPr>
          <w:rFonts w:ascii="Times New Roman" w:hAnsi="Times New Roman"/>
          <w:sz w:val="22"/>
          <w:szCs w:val="22"/>
        </w:rPr>
        <w:t xml:space="preserve">to </w:t>
      </w:r>
      <w:r w:rsidR="00D5748C" w:rsidRPr="005218A0">
        <w:rPr>
          <w:rFonts w:ascii="Times New Roman" w:hAnsi="Times New Roman"/>
          <w:sz w:val="22"/>
          <w:szCs w:val="22"/>
        </w:rPr>
        <w:t>develop health plan</w:t>
      </w:r>
      <w:r w:rsidR="003F0575" w:rsidRPr="005218A0">
        <w:rPr>
          <w:rFonts w:ascii="Times New Roman" w:hAnsi="Times New Roman"/>
          <w:sz w:val="22"/>
          <w:szCs w:val="22"/>
        </w:rPr>
        <w:t xml:space="preserve"> cost share </w:t>
      </w:r>
      <w:r w:rsidR="00D5748C" w:rsidRPr="005218A0">
        <w:rPr>
          <w:rFonts w:ascii="Times New Roman" w:hAnsi="Times New Roman"/>
          <w:sz w:val="22"/>
          <w:szCs w:val="22"/>
        </w:rPr>
        <w:t xml:space="preserve">designs as set out in 24-A M.R.S. </w:t>
      </w:r>
      <w:bookmarkStart w:id="0" w:name="_Hlk56334189"/>
      <w:r w:rsidR="00D5748C" w:rsidRPr="005218A0">
        <w:rPr>
          <w:rFonts w:ascii="Times New Roman" w:hAnsi="Times New Roman"/>
          <w:sz w:val="22"/>
          <w:szCs w:val="22"/>
        </w:rPr>
        <w:t>§2793</w:t>
      </w:r>
      <w:bookmarkEnd w:id="0"/>
      <w:r w:rsidR="00B5580A" w:rsidRPr="005218A0">
        <w:rPr>
          <w:rFonts w:ascii="Times New Roman" w:hAnsi="Times New Roman"/>
          <w:sz w:val="22"/>
          <w:szCs w:val="22"/>
        </w:rPr>
        <w:t>, for individual health plans and, as applicable, for small group health plans</w:t>
      </w:r>
      <w:r w:rsidRPr="005218A0">
        <w:rPr>
          <w:rFonts w:ascii="Times New Roman" w:hAnsi="Times New Roman"/>
          <w:sz w:val="22"/>
          <w:szCs w:val="22"/>
        </w:rPr>
        <w:t>.</w:t>
      </w:r>
    </w:p>
    <w:p w14:paraId="7E0B8234" w14:textId="35734D4A" w:rsidR="00E32518" w:rsidRPr="005218A0" w:rsidRDefault="00E32518" w:rsidP="00E32518">
      <w:pPr>
        <w:rPr>
          <w:rFonts w:ascii="Times New Roman" w:hAnsi="Times New Roman"/>
          <w:sz w:val="22"/>
          <w:szCs w:val="22"/>
        </w:rPr>
      </w:pPr>
    </w:p>
    <w:p w14:paraId="2368DF89" w14:textId="77777777" w:rsidR="0045415C" w:rsidRPr="005218A0" w:rsidRDefault="0045415C" w:rsidP="00E32518">
      <w:pPr>
        <w:rPr>
          <w:rFonts w:ascii="Times New Roman" w:hAnsi="Times New Roman"/>
          <w:sz w:val="22"/>
          <w:szCs w:val="22"/>
        </w:rPr>
      </w:pPr>
    </w:p>
    <w:p w14:paraId="1A8EF80F" w14:textId="28461002" w:rsidR="00E32518" w:rsidRPr="005218A0" w:rsidRDefault="00E32518" w:rsidP="00E32518">
      <w:pPr>
        <w:rPr>
          <w:rFonts w:ascii="Times New Roman" w:hAnsi="Times New Roman"/>
          <w:b/>
          <w:sz w:val="22"/>
          <w:szCs w:val="22"/>
        </w:rPr>
      </w:pPr>
      <w:r w:rsidRPr="005218A0">
        <w:rPr>
          <w:rFonts w:ascii="Times New Roman" w:hAnsi="Times New Roman"/>
          <w:b/>
          <w:sz w:val="22"/>
          <w:szCs w:val="22"/>
        </w:rPr>
        <w:t xml:space="preserve">Section 2. </w:t>
      </w:r>
      <w:r w:rsidRPr="005218A0">
        <w:rPr>
          <w:rFonts w:ascii="Times New Roman" w:hAnsi="Times New Roman"/>
          <w:b/>
          <w:sz w:val="22"/>
          <w:szCs w:val="22"/>
        </w:rPr>
        <w:tab/>
        <w:t xml:space="preserve">Applicability and </w:t>
      </w:r>
      <w:r w:rsidR="00EB2875" w:rsidRPr="005218A0">
        <w:rPr>
          <w:rFonts w:ascii="Times New Roman" w:hAnsi="Times New Roman"/>
          <w:b/>
          <w:sz w:val="22"/>
          <w:szCs w:val="22"/>
        </w:rPr>
        <w:t>S</w:t>
      </w:r>
      <w:r w:rsidRPr="005218A0">
        <w:rPr>
          <w:rFonts w:ascii="Times New Roman" w:hAnsi="Times New Roman"/>
          <w:b/>
          <w:sz w:val="22"/>
          <w:szCs w:val="22"/>
        </w:rPr>
        <w:t>cope</w:t>
      </w:r>
    </w:p>
    <w:p w14:paraId="79CF11F7" w14:textId="77777777" w:rsidR="00E32518" w:rsidRPr="005218A0" w:rsidRDefault="00E32518" w:rsidP="00E32518">
      <w:pPr>
        <w:rPr>
          <w:rFonts w:ascii="Times New Roman" w:hAnsi="Times New Roman"/>
          <w:sz w:val="22"/>
          <w:szCs w:val="22"/>
        </w:rPr>
      </w:pPr>
    </w:p>
    <w:p w14:paraId="1DD864C9" w14:textId="0A12ABE6" w:rsidR="00825614" w:rsidRPr="005218A0" w:rsidRDefault="00B32D42" w:rsidP="00412731">
      <w:pPr>
        <w:ind w:left="720"/>
        <w:rPr>
          <w:rFonts w:ascii="Times New Roman" w:hAnsi="Times New Roman"/>
          <w:sz w:val="22"/>
          <w:szCs w:val="22"/>
        </w:rPr>
      </w:pPr>
      <w:r w:rsidRPr="005218A0">
        <w:rPr>
          <w:rFonts w:ascii="Times New Roman" w:hAnsi="Times New Roman"/>
          <w:sz w:val="22"/>
          <w:szCs w:val="22"/>
        </w:rPr>
        <w:t xml:space="preserve">This rule applies to all individual health </w:t>
      </w:r>
      <w:r w:rsidR="00F9453E" w:rsidRPr="005218A0">
        <w:rPr>
          <w:rFonts w:ascii="Times New Roman" w:hAnsi="Times New Roman"/>
          <w:sz w:val="22"/>
          <w:szCs w:val="22"/>
        </w:rPr>
        <w:t xml:space="preserve">plans </w:t>
      </w:r>
      <w:r w:rsidRPr="005218A0">
        <w:rPr>
          <w:rFonts w:ascii="Times New Roman" w:hAnsi="Times New Roman"/>
          <w:sz w:val="22"/>
          <w:szCs w:val="22"/>
        </w:rPr>
        <w:t xml:space="preserve">subject to </w:t>
      </w:r>
      <w:r w:rsidR="00E33ACC" w:rsidRPr="005218A0">
        <w:rPr>
          <w:rFonts w:ascii="Times New Roman" w:hAnsi="Times New Roman"/>
          <w:sz w:val="22"/>
          <w:szCs w:val="22"/>
        </w:rPr>
        <w:t xml:space="preserve">24-A M.R.S. </w:t>
      </w:r>
      <w:r w:rsidRPr="005218A0">
        <w:rPr>
          <w:rFonts w:ascii="Times New Roman" w:hAnsi="Times New Roman"/>
          <w:sz w:val="22"/>
          <w:szCs w:val="22"/>
        </w:rPr>
        <w:t>§2736</w:t>
      </w:r>
      <w:r w:rsidR="004A17CB" w:rsidRPr="005218A0">
        <w:rPr>
          <w:rFonts w:ascii="Times New Roman" w:hAnsi="Times New Roman"/>
          <w:sz w:val="22"/>
          <w:szCs w:val="22"/>
        </w:rPr>
        <w:noBreakHyphen/>
      </w:r>
      <w:r w:rsidRPr="005218A0">
        <w:rPr>
          <w:rFonts w:ascii="Times New Roman" w:hAnsi="Times New Roman"/>
          <w:sz w:val="22"/>
          <w:szCs w:val="22"/>
        </w:rPr>
        <w:t xml:space="preserve">C </w:t>
      </w:r>
      <w:r w:rsidR="002348E0" w:rsidRPr="005218A0">
        <w:rPr>
          <w:rFonts w:ascii="Times New Roman" w:hAnsi="Times New Roman"/>
          <w:sz w:val="22"/>
          <w:szCs w:val="22"/>
        </w:rPr>
        <w:t>offered</w:t>
      </w:r>
      <w:r w:rsidRPr="005218A0">
        <w:rPr>
          <w:rFonts w:ascii="Times New Roman" w:hAnsi="Times New Roman"/>
          <w:sz w:val="22"/>
          <w:szCs w:val="22"/>
        </w:rPr>
        <w:t xml:space="preserve"> in this </w:t>
      </w:r>
      <w:r w:rsidR="004A17CB" w:rsidRPr="005218A0">
        <w:rPr>
          <w:rFonts w:ascii="Times New Roman" w:hAnsi="Times New Roman"/>
          <w:sz w:val="22"/>
          <w:szCs w:val="22"/>
        </w:rPr>
        <w:t>S</w:t>
      </w:r>
      <w:r w:rsidRPr="005218A0">
        <w:rPr>
          <w:rFonts w:ascii="Times New Roman" w:hAnsi="Times New Roman"/>
          <w:sz w:val="22"/>
          <w:szCs w:val="22"/>
        </w:rPr>
        <w:t xml:space="preserve">tate </w:t>
      </w:r>
      <w:r w:rsidR="002348E0" w:rsidRPr="005218A0">
        <w:rPr>
          <w:rFonts w:ascii="Times New Roman" w:hAnsi="Times New Roman"/>
          <w:sz w:val="22"/>
          <w:szCs w:val="22"/>
        </w:rPr>
        <w:t xml:space="preserve">with effective dates of coverage </w:t>
      </w:r>
      <w:r w:rsidRPr="005218A0">
        <w:rPr>
          <w:rFonts w:ascii="Times New Roman" w:hAnsi="Times New Roman"/>
          <w:sz w:val="22"/>
          <w:szCs w:val="22"/>
        </w:rPr>
        <w:t>on or after January 1, 2022</w:t>
      </w:r>
      <w:r w:rsidR="00B5580A" w:rsidRPr="005218A0">
        <w:rPr>
          <w:rFonts w:ascii="Times New Roman" w:hAnsi="Times New Roman"/>
          <w:sz w:val="22"/>
          <w:szCs w:val="22"/>
        </w:rPr>
        <w:t>, and to all small group health plans subject to 24-A M.R.S. §2808-B issued or renewed through a pooled health insurance market</w:t>
      </w:r>
      <w:r w:rsidR="005F4571" w:rsidRPr="005218A0">
        <w:rPr>
          <w:rFonts w:ascii="Times New Roman" w:hAnsi="Times New Roman"/>
          <w:sz w:val="22"/>
          <w:szCs w:val="22"/>
        </w:rPr>
        <w:t xml:space="preserve"> on or after January 1 of the </w:t>
      </w:r>
      <w:r w:rsidR="004A7ADA" w:rsidRPr="005218A0">
        <w:rPr>
          <w:rFonts w:ascii="Times New Roman" w:hAnsi="Times New Roman"/>
          <w:sz w:val="22"/>
          <w:szCs w:val="22"/>
        </w:rPr>
        <w:t xml:space="preserve">pooled market </w:t>
      </w:r>
      <w:r w:rsidR="005F4571" w:rsidRPr="005218A0">
        <w:rPr>
          <w:rFonts w:ascii="Times New Roman" w:hAnsi="Times New Roman"/>
          <w:sz w:val="22"/>
          <w:szCs w:val="22"/>
        </w:rPr>
        <w:t>implementation year</w:t>
      </w:r>
      <w:r w:rsidRPr="005218A0">
        <w:rPr>
          <w:rFonts w:ascii="Times New Roman" w:hAnsi="Times New Roman"/>
          <w:sz w:val="22"/>
          <w:szCs w:val="22"/>
        </w:rPr>
        <w:t>.</w:t>
      </w:r>
    </w:p>
    <w:p w14:paraId="22667E5F" w14:textId="686D8A8D" w:rsidR="00825614" w:rsidRPr="005218A0" w:rsidRDefault="00825614" w:rsidP="00E32518">
      <w:pPr>
        <w:rPr>
          <w:rFonts w:ascii="Times New Roman" w:hAnsi="Times New Roman"/>
          <w:sz w:val="22"/>
          <w:szCs w:val="22"/>
        </w:rPr>
      </w:pPr>
    </w:p>
    <w:p w14:paraId="4D691FAF" w14:textId="77777777" w:rsidR="004A17CB" w:rsidRPr="005218A0" w:rsidRDefault="004A17CB" w:rsidP="00E32518">
      <w:pPr>
        <w:rPr>
          <w:rFonts w:ascii="Times New Roman" w:hAnsi="Times New Roman"/>
          <w:sz w:val="22"/>
          <w:szCs w:val="22"/>
        </w:rPr>
      </w:pPr>
    </w:p>
    <w:p w14:paraId="5ED0F0D2" w14:textId="77777777" w:rsidR="00E32518" w:rsidRPr="005218A0" w:rsidRDefault="00E32518" w:rsidP="00B75C22">
      <w:pPr>
        <w:keepNext/>
        <w:rPr>
          <w:rFonts w:ascii="Times New Roman" w:hAnsi="Times New Roman"/>
          <w:b/>
          <w:sz w:val="22"/>
          <w:szCs w:val="22"/>
        </w:rPr>
      </w:pPr>
      <w:r w:rsidRPr="005218A0">
        <w:rPr>
          <w:rFonts w:ascii="Times New Roman" w:hAnsi="Times New Roman"/>
          <w:b/>
          <w:sz w:val="22"/>
          <w:szCs w:val="22"/>
        </w:rPr>
        <w:t>Section 3.</w:t>
      </w:r>
      <w:r w:rsidRPr="005218A0">
        <w:rPr>
          <w:rFonts w:ascii="Times New Roman" w:hAnsi="Times New Roman"/>
          <w:b/>
          <w:sz w:val="22"/>
          <w:szCs w:val="22"/>
        </w:rPr>
        <w:tab/>
        <w:t>Definitions</w:t>
      </w:r>
    </w:p>
    <w:p w14:paraId="10B394A3" w14:textId="77777777" w:rsidR="00E32518" w:rsidRPr="005218A0" w:rsidRDefault="00E32518" w:rsidP="00B75C22">
      <w:pPr>
        <w:keepNext/>
        <w:rPr>
          <w:rFonts w:ascii="Times New Roman" w:hAnsi="Times New Roman"/>
          <w:b/>
          <w:sz w:val="22"/>
          <w:szCs w:val="22"/>
        </w:rPr>
      </w:pPr>
    </w:p>
    <w:p w14:paraId="5459FDB7" w14:textId="448F4A1B" w:rsidR="00E32518" w:rsidRPr="005218A0" w:rsidRDefault="00E32518" w:rsidP="00412731">
      <w:pPr>
        <w:ind w:left="720"/>
        <w:rPr>
          <w:rFonts w:ascii="Times New Roman" w:hAnsi="Times New Roman"/>
          <w:sz w:val="22"/>
          <w:szCs w:val="22"/>
        </w:rPr>
      </w:pPr>
      <w:bookmarkStart w:id="1" w:name="_Hlk56494168"/>
      <w:r w:rsidRPr="005218A0">
        <w:rPr>
          <w:rFonts w:ascii="Times New Roman" w:hAnsi="Times New Roman"/>
          <w:sz w:val="22"/>
          <w:szCs w:val="22"/>
        </w:rPr>
        <w:t>The following definitions apply</w:t>
      </w:r>
      <w:r w:rsidR="00C5306C" w:rsidRPr="005218A0">
        <w:rPr>
          <w:rFonts w:ascii="Times New Roman" w:hAnsi="Times New Roman"/>
          <w:sz w:val="22"/>
          <w:szCs w:val="22"/>
        </w:rPr>
        <w:t xml:space="preserve"> for purposes of this </w:t>
      </w:r>
      <w:r w:rsidR="0091620A" w:rsidRPr="005218A0">
        <w:rPr>
          <w:rFonts w:ascii="Times New Roman" w:hAnsi="Times New Roman"/>
          <w:sz w:val="22"/>
          <w:szCs w:val="22"/>
        </w:rPr>
        <w:t>r</w:t>
      </w:r>
      <w:r w:rsidR="00C5306C" w:rsidRPr="005218A0">
        <w:rPr>
          <w:rFonts w:ascii="Times New Roman" w:hAnsi="Times New Roman"/>
          <w:sz w:val="22"/>
          <w:szCs w:val="22"/>
        </w:rPr>
        <w:t>ule</w:t>
      </w:r>
      <w:r w:rsidRPr="005218A0">
        <w:rPr>
          <w:rFonts w:ascii="Times New Roman" w:hAnsi="Times New Roman"/>
          <w:sz w:val="22"/>
          <w:szCs w:val="22"/>
        </w:rPr>
        <w:t>:</w:t>
      </w:r>
    </w:p>
    <w:p w14:paraId="632CF053" w14:textId="77777777" w:rsidR="00E32518" w:rsidRPr="005218A0" w:rsidRDefault="00E32518" w:rsidP="00E32518">
      <w:pPr>
        <w:rPr>
          <w:rFonts w:ascii="Times New Roman" w:hAnsi="Times New Roman"/>
          <w:sz w:val="22"/>
          <w:szCs w:val="22"/>
        </w:rPr>
      </w:pPr>
    </w:p>
    <w:p w14:paraId="31F99626" w14:textId="36417552" w:rsidR="00EA4015" w:rsidRPr="005218A0" w:rsidRDefault="004A17CB" w:rsidP="00412731">
      <w:pPr>
        <w:ind w:left="1440" w:hanging="720"/>
        <w:rPr>
          <w:rFonts w:ascii="Times New Roman" w:hAnsi="Times New Roman"/>
          <w:sz w:val="22"/>
          <w:szCs w:val="22"/>
        </w:rPr>
      </w:pPr>
      <w:r w:rsidRPr="005218A0">
        <w:rPr>
          <w:rFonts w:ascii="Times New Roman" w:hAnsi="Times New Roman"/>
          <w:sz w:val="22"/>
          <w:szCs w:val="22"/>
        </w:rPr>
        <w:t>1</w:t>
      </w:r>
      <w:r w:rsidR="00EA4015" w:rsidRPr="005218A0">
        <w:rPr>
          <w:rFonts w:ascii="Times New Roman" w:hAnsi="Times New Roman"/>
          <w:sz w:val="22"/>
          <w:szCs w:val="22"/>
        </w:rPr>
        <w:t>.</w:t>
      </w:r>
      <w:r w:rsidR="00EA4015" w:rsidRPr="005218A0">
        <w:rPr>
          <w:rFonts w:ascii="Times New Roman" w:hAnsi="Times New Roman"/>
          <w:sz w:val="22"/>
          <w:szCs w:val="22"/>
        </w:rPr>
        <w:tab/>
      </w:r>
      <w:r w:rsidR="00622422" w:rsidRPr="005218A0">
        <w:rPr>
          <w:rFonts w:ascii="Times New Roman" w:hAnsi="Times New Roman"/>
          <w:sz w:val="22"/>
          <w:szCs w:val="22"/>
        </w:rPr>
        <w:t xml:space="preserve">“Affordable Care Act” or </w:t>
      </w:r>
      <w:r w:rsidR="00EA4015" w:rsidRPr="005218A0">
        <w:rPr>
          <w:rFonts w:ascii="Times New Roman" w:hAnsi="Times New Roman"/>
          <w:sz w:val="22"/>
          <w:szCs w:val="22"/>
        </w:rPr>
        <w:t xml:space="preserve">“ACA” </w:t>
      </w:r>
      <w:r w:rsidR="00622422" w:rsidRPr="005218A0">
        <w:rPr>
          <w:rFonts w:ascii="Times New Roman" w:hAnsi="Times New Roman"/>
          <w:sz w:val="22"/>
          <w:szCs w:val="22"/>
        </w:rPr>
        <w:t>has the same meaning as in 24-A M.R.S. §14.</w:t>
      </w:r>
    </w:p>
    <w:p w14:paraId="1A3EE761" w14:textId="77777777" w:rsidR="00EA4015" w:rsidRPr="005218A0" w:rsidRDefault="00EA4015" w:rsidP="00412731">
      <w:pPr>
        <w:ind w:left="1440" w:hanging="720"/>
        <w:rPr>
          <w:rFonts w:ascii="Times New Roman" w:hAnsi="Times New Roman"/>
          <w:sz w:val="22"/>
          <w:szCs w:val="22"/>
        </w:rPr>
      </w:pPr>
    </w:p>
    <w:p w14:paraId="1583CDD4" w14:textId="48749AEB" w:rsidR="00C5306C" w:rsidRPr="005218A0" w:rsidRDefault="004A17CB" w:rsidP="00412731">
      <w:pPr>
        <w:ind w:left="1440" w:hanging="720"/>
        <w:rPr>
          <w:rFonts w:ascii="Times New Roman" w:hAnsi="Times New Roman"/>
          <w:sz w:val="22"/>
          <w:szCs w:val="22"/>
        </w:rPr>
      </w:pPr>
      <w:r w:rsidRPr="005218A0">
        <w:rPr>
          <w:rFonts w:ascii="Times New Roman" w:hAnsi="Times New Roman"/>
          <w:sz w:val="22"/>
          <w:szCs w:val="22"/>
        </w:rPr>
        <w:t>2</w:t>
      </w:r>
      <w:r w:rsidR="00C5306C" w:rsidRPr="005218A0">
        <w:rPr>
          <w:rFonts w:ascii="Times New Roman" w:hAnsi="Times New Roman"/>
          <w:sz w:val="22"/>
          <w:szCs w:val="22"/>
        </w:rPr>
        <w:t>.</w:t>
      </w:r>
      <w:r w:rsidR="00C5306C" w:rsidRPr="005218A0">
        <w:rPr>
          <w:rFonts w:ascii="Times New Roman" w:hAnsi="Times New Roman"/>
          <w:sz w:val="22"/>
          <w:szCs w:val="22"/>
        </w:rPr>
        <w:tab/>
      </w:r>
      <w:r w:rsidR="0017525B" w:rsidRPr="005218A0">
        <w:rPr>
          <w:rFonts w:ascii="Times New Roman" w:hAnsi="Times New Roman"/>
          <w:sz w:val="22"/>
          <w:szCs w:val="22"/>
        </w:rPr>
        <w:t>“Actuarial value” or</w:t>
      </w:r>
      <w:r w:rsidR="00C5306C" w:rsidRPr="005218A0">
        <w:rPr>
          <w:rFonts w:ascii="Times New Roman" w:hAnsi="Times New Roman"/>
          <w:sz w:val="22"/>
          <w:szCs w:val="22"/>
        </w:rPr>
        <w:t xml:space="preserve"> </w:t>
      </w:r>
      <w:r w:rsidR="004318CD" w:rsidRPr="005218A0">
        <w:rPr>
          <w:rFonts w:ascii="Times New Roman" w:hAnsi="Times New Roman"/>
          <w:sz w:val="22"/>
          <w:szCs w:val="22"/>
        </w:rPr>
        <w:t xml:space="preserve">“AV” </w:t>
      </w:r>
      <w:r w:rsidR="0017525B" w:rsidRPr="005218A0">
        <w:rPr>
          <w:rFonts w:ascii="Times New Roman" w:hAnsi="Times New Roman"/>
          <w:sz w:val="22"/>
          <w:szCs w:val="22"/>
        </w:rPr>
        <w:t>means</w:t>
      </w:r>
      <w:r w:rsidR="00E53E3D" w:rsidRPr="005218A0">
        <w:rPr>
          <w:rFonts w:ascii="Times New Roman" w:hAnsi="Times New Roman"/>
          <w:sz w:val="22"/>
          <w:szCs w:val="22"/>
        </w:rPr>
        <w:t xml:space="preserve"> </w:t>
      </w:r>
      <w:r w:rsidR="004318CD" w:rsidRPr="005218A0">
        <w:rPr>
          <w:rFonts w:ascii="Times New Roman" w:hAnsi="Times New Roman"/>
          <w:sz w:val="22"/>
          <w:szCs w:val="22"/>
        </w:rPr>
        <w:t xml:space="preserve">the anticipated covered medical spending </w:t>
      </w:r>
      <w:r w:rsidR="007C1D50" w:rsidRPr="005218A0">
        <w:rPr>
          <w:rFonts w:ascii="Times New Roman" w:hAnsi="Times New Roman"/>
          <w:sz w:val="22"/>
          <w:szCs w:val="22"/>
        </w:rPr>
        <w:t xml:space="preserve">paid by a health plan for a standard population </w:t>
      </w:r>
      <w:r w:rsidR="004318CD" w:rsidRPr="005218A0">
        <w:rPr>
          <w:rFonts w:ascii="Times New Roman" w:hAnsi="Times New Roman"/>
          <w:sz w:val="22"/>
          <w:szCs w:val="22"/>
        </w:rPr>
        <w:t xml:space="preserve">for </w:t>
      </w:r>
      <w:r w:rsidR="0017525B" w:rsidRPr="005218A0">
        <w:rPr>
          <w:rFonts w:ascii="Times New Roman" w:hAnsi="Times New Roman"/>
          <w:sz w:val="22"/>
          <w:szCs w:val="22"/>
        </w:rPr>
        <w:t xml:space="preserve">essential health benefit </w:t>
      </w:r>
      <w:r w:rsidR="004318CD" w:rsidRPr="005218A0">
        <w:rPr>
          <w:rFonts w:ascii="Times New Roman" w:hAnsi="Times New Roman"/>
          <w:sz w:val="22"/>
          <w:szCs w:val="22"/>
        </w:rPr>
        <w:t>coverage</w:t>
      </w:r>
      <w:r w:rsidR="00F13D9B" w:rsidRPr="005218A0">
        <w:rPr>
          <w:rFonts w:ascii="Times New Roman" w:hAnsi="Times New Roman"/>
          <w:sz w:val="22"/>
          <w:szCs w:val="22"/>
        </w:rPr>
        <w:t>,</w:t>
      </w:r>
      <w:r w:rsidR="004318CD" w:rsidRPr="005218A0">
        <w:rPr>
          <w:rFonts w:ascii="Times New Roman" w:hAnsi="Times New Roman"/>
          <w:sz w:val="22"/>
          <w:szCs w:val="22"/>
        </w:rPr>
        <w:t xml:space="preserve"> as defined in </w:t>
      </w:r>
      <w:r w:rsidRPr="005218A0">
        <w:rPr>
          <w:rFonts w:ascii="Times New Roman" w:hAnsi="Times New Roman"/>
          <w:sz w:val="22"/>
          <w:szCs w:val="22"/>
        </w:rPr>
        <w:t>24-A M.R.S. §4320-D(2)</w:t>
      </w:r>
      <w:r w:rsidR="004318CD" w:rsidRPr="005218A0">
        <w:rPr>
          <w:rFonts w:ascii="Times New Roman" w:hAnsi="Times New Roman"/>
          <w:sz w:val="22"/>
          <w:szCs w:val="22"/>
        </w:rPr>
        <w:t xml:space="preserve">, </w:t>
      </w:r>
      <w:r w:rsidR="003B7351" w:rsidRPr="005218A0">
        <w:rPr>
          <w:rFonts w:ascii="Times New Roman" w:hAnsi="Times New Roman"/>
          <w:sz w:val="22"/>
          <w:szCs w:val="22"/>
        </w:rPr>
        <w:t>c</w:t>
      </w:r>
      <w:r w:rsidR="004318CD" w:rsidRPr="005218A0">
        <w:rPr>
          <w:rFonts w:ascii="Times New Roman" w:hAnsi="Times New Roman"/>
          <w:sz w:val="22"/>
          <w:szCs w:val="22"/>
        </w:rPr>
        <w:t>omputed in accordance with the plan</w:t>
      </w:r>
      <w:r w:rsidR="005D2577" w:rsidRPr="005218A0">
        <w:rPr>
          <w:rFonts w:ascii="Times New Roman" w:hAnsi="Times New Roman"/>
          <w:sz w:val="22"/>
          <w:szCs w:val="22"/>
        </w:rPr>
        <w:t>’</w:t>
      </w:r>
      <w:r w:rsidR="004318CD" w:rsidRPr="005218A0">
        <w:rPr>
          <w:rFonts w:ascii="Times New Roman" w:hAnsi="Times New Roman"/>
          <w:sz w:val="22"/>
          <w:szCs w:val="22"/>
        </w:rPr>
        <w:t xml:space="preserve">s cost sharing, and divided by the total anticipated allowed charges for </w:t>
      </w:r>
      <w:r w:rsidR="00C20C22" w:rsidRPr="005218A0">
        <w:rPr>
          <w:rFonts w:ascii="Times New Roman" w:hAnsi="Times New Roman"/>
          <w:sz w:val="22"/>
          <w:szCs w:val="22"/>
        </w:rPr>
        <w:t xml:space="preserve">essential health benefit </w:t>
      </w:r>
      <w:r w:rsidR="004318CD" w:rsidRPr="005218A0">
        <w:rPr>
          <w:rFonts w:ascii="Times New Roman" w:hAnsi="Times New Roman"/>
          <w:sz w:val="22"/>
          <w:szCs w:val="22"/>
        </w:rPr>
        <w:t>coverage provided to a standard population</w:t>
      </w:r>
      <w:r w:rsidR="005D2577" w:rsidRPr="005218A0">
        <w:rPr>
          <w:rFonts w:ascii="Times New Roman" w:hAnsi="Times New Roman"/>
          <w:sz w:val="22"/>
          <w:szCs w:val="22"/>
        </w:rPr>
        <w:t>,</w:t>
      </w:r>
      <w:r w:rsidR="00545A11" w:rsidRPr="005218A0">
        <w:rPr>
          <w:rFonts w:ascii="Times New Roman" w:hAnsi="Times New Roman"/>
          <w:sz w:val="22"/>
          <w:szCs w:val="22"/>
        </w:rPr>
        <w:t xml:space="preserve"> using the </w:t>
      </w:r>
      <w:r w:rsidR="00EF1CAF" w:rsidRPr="005218A0">
        <w:rPr>
          <w:rFonts w:ascii="Times New Roman" w:hAnsi="Times New Roman"/>
          <w:sz w:val="22"/>
          <w:szCs w:val="22"/>
        </w:rPr>
        <w:t>most recent AV calculator published by CMS</w:t>
      </w:r>
      <w:r w:rsidR="00545A11" w:rsidRPr="005218A0">
        <w:rPr>
          <w:rFonts w:ascii="Times New Roman" w:hAnsi="Times New Roman"/>
          <w:sz w:val="22"/>
          <w:szCs w:val="22"/>
        </w:rPr>
        <w:t xml:space="preserve"> and </w:t>
      </w:r>
      <w:r w:rsidR="00477557" w:rsidRPr="005218A0">
        <w:rPr>
          <w:rFonts w:ascii="Times New Roman" w:hAnsi="Times New Roman"/>
          <w:sz w:val="22"/>
          <w:szCs w:val="22"/>
        </w:rPr>
        <w:t xml:space="preserve">any </w:t>
      </w:r>
      <w:r w:rsidR="00545A11" w:rsidRPr="005218A0">
        <w:rPr>
          <w:rFonts w:ascii="Times New Roman" w:hAnsi="Times New Roman"/>
          <w:sz w:val="22"/>
          <w:szCs w:val="22"/>
        </w:rPr>
        <w:t xml:space="preserve">adjustments </w:t>
      </w:r>
      <w:r w:rsidR="00477557" w:rsidRPr="005218A0">
        <w:rPr>
          <w:rFonts w:ascii="Times New Roman" w:hAnsi="Times New Roman"/>
          <w:sz w:val="22"/>
          <w:szCs w:val="22"/>
        </w:rPr>
        <w:t xml:space="preserve">made </w:t>
      </w:r>
      <w:r w:rsidR="00545A11" w:rsidRPr="005218A0">
        <w:rPr>
          <w:rFonts w:ascii="Times New Roman" w:hAnsi="Times New Roman"/>
          <w:sz w:val="22"/>
          <w:szCs w:val="22"/>
        </w:rPr>
        <w:t>by the carrier</w:t>
      </w:r>
      <w:r w:rsidR="00477557" w:rsidRPr="005218A0">
        <w:rPr>
          <w:rFonts w:ascii="Times New Roman" w:hAnsi="Times New Roman"/>
          <w:sz w:val="22"/>
          <w:szCs w:val="22"/>
        </w:rPr>
        <w:t>.</w:t>
      </w:r>
    </w:p>
    <w:p w14:paraId="5C8494E8" w14:textId="77777777" w:rsidR="0062594C" w:rsidRPr="005218A0" w:rsidRDefault="0062594C" w:rsidP="00412731">
      <w:pPr>
        <w:ind w:left="1440" w:hanging="720"/>
        <w:rPr>
          <w:rFonts w:ascii="Times New Roman" w:hAnsi="Times New Roman"/>
          <w:sz w:val="22"/>
          <w:szCs w:val="22"/>
        </w:rPr>
      </w:pPr>
      <w:bookmarkStart w:id="2" w:name="_Hlk58910683"/>
      <w:bookmarkStart w:id="3" w:name="_Hlk56496900"/>
      <w:bookmarkEnd w:id="1"/>
    </w:p>
    <w:p w14:paraId="2AC8BBD9" w14:textId="55CE0AE3" w:rsidR="00D5748C" w:rsidRPr="005218A0" w:rsidRDefault="00AA1B5A" w:rsidP="00412731">
      <w:pPr>
        <w:ind w:left="1440" w:hanging="720"/>
        <w:rPr>
          <w:rFonts w:ascii="Times New Roman" w:hAnsi="Times New Roman"/>
          <w:sz w:val="22"/>
          <w:szCs w:val="22"/>
        </w:rPr>
      </w:pPr>
      <w:r w:rsidRPr="005218A0">
        <w:rPr>
          <w:rFonts w:ascii="Times New Roman" w:hAnsi="Times New Roman"/>
          <w:sz w:val="22"/>
          <w:szCs w:val="22"/>
        </w:rPr>
        <w:lastRenderedPageBreak/>
        <w:t>3</w:t>
      </w:r>
      <w:r w:rsidR="00EB4725" w:rsidRPr="005218A0">
        <w:rPr>
          <w:rFonts w:ascii="Times New Roman" w:hAnsi="Times New Roman"/>
          <w:sz w:val="22"/>
          <w:szCs w:val="22"/>
        </w:rPr>
        <w:t>.</w:t>
      </w:r>
      <w:r w:rsidR="00E32518" w:rsidRPr="005218A0">
        <w:rPr>
          <w:rFonts w:ascii="Times New Roman" w:hAnsi="Times New Roman"/>
          <w:sz w:val="22"/>
          <w:szCs w:val="22"/>
        </w:rPr>
        <w:tab/>
      </w:r>
      <w:r w:rsidR="004318CD" w:rsidRPr="005218A0">
        <w:rPr>
          <w:rFonts w:ascii="Times New Roman" w:hAnsi="Times New Roman"/>
          <w:sz w:val="22"/>
          <w:szCs w:val="22"/>
        </w:rPr>
        <w:t>“Carrier</w:t>
      </w:r>
      <w:bookmarkEnd w:id="2"/>
      <w:r w:rsidR="004318CD" w:rsidRPr="005218A0">
        <w:rPr>
          <w:rFonts w:ascii="Times New Roman" w:hAnsi="Times New Roman"/>
          <w:sz w:val="22"/>
          <w:szCs w:val="22"/>
        </w:rPr>
        <w:t>” has the same meaning as in 24-A M.R.S. §4301-A(3).</w:t>
      </w:r>
    </w:p>
    <w:bookmarkEnd w:id="3"/>
    <w:p w14:paraId="2CCB4EAF" w14:textId="0E966598" w:rsidR="004318CD" w:rsidRPr="005218A0" w:rsidRDefault="004318CD" w:rsidP="00D5748C">
      <w:pPr>
        <w:ind w:left="720" w:hanging="720"/>
        <w:rPr>
          <w:rFonts w:ascii="Times New Roman" w:hAnsi="Times New Roman"/>
          <w:sz w:val="22"/>
          <w:szCs w:val="22"/>
        </w:rPr>
      </w:pPr>
    </w:p>
    <w:p w14:paraId="665A06EF" w14:textId="026D9268" w:rsidR="00E53E3D" w:rsidRPr="005218A0" w:rsidRDefault="00AA1B5A" w:rsidP="00412731">
      <w:pPr>
        <w:ind w:left="1440" w:hanging="720"/>
        <w:rPr>
          <w:rFonts w:ascii="Times New Roman" w:hAnsi="Times New Roman"/>
          <w:sz w:val="22"/>
          <w:szCs w:val="22"/>
        </w:rPr>
      </w:pPr>
      <w:r w:rsidRPr="005218A0">
        <w:rPr>
          <w:rFonts w:ascii="Times New Roman" w:hAnsi="Times New Roman"/>
          <w:sz w:val="22"/>
          <w:szCs w:val="22"/>
        </w:rPr>
        <w:t>4</w:t>
      </w:r>
      <w:r w:rsidR="00E53E3D" w:rsidRPr="005218A0">
        <w:rPr>
          <w:rFonts w:ascii="Times New Roman" w:hAnsi="Times New Roman"/>
          <w:sz w:val="22"/>
          <w:szCs w:val="22"/>
        </w:rPr>
        <w:t>.</w:t>
      </w:r>
      <w:r w:rsidR="00E53E3D" w:rsidRPr="005218A0">
        <w:rPr>
          <w:rFonts w:ascii="Times New Roman" w:hAnsi="Times New Roman"/>
          <w:sz w:val="22"/>
          <w:szCs w:val="22"/>
        </w:rPr>
        <w:tab/>
        <w:t>“HSA</w:t>
      </w:r>
      <w:r w:rsidR="004A17CB" w:rsidRPr="005218A0">
        <w:rPr>
          <w:rFonts w:ascii="Times New Roman" w:hAnsi="Times New Roman"/>
          <w:sz w:val="22"/>
          <w:szCs w:val="22"/>
        </w:rPr>
        <w:t xml:space="preserve"> plan</w:t>
      </w:r>
      <w:r w:rsidR="00E53E3D" w:rsidRPr="005218A0">
        <w:rPr>
          <w:rFonts w:ascii="Times New Roman" w:hAnsi="Times New Roman"/>
          <w:sz w:val="22"/>
          <w:szCs w:val="22"/>
        </w:rPr>
        <w:t xml:space="preserve">” </w:t>
      </w:r>
      <w:r w:rsidR="00F23ED5" w:rsidRPr="005218A0">
        <w:rPr>
          <w:rFonts w:ascii="Times New Roman" w:hAnsi="Times New Roman"/>
          <w:sz w:val="22"/>
          <w:szCs w:val="22"/>
        </w:rPr>
        <w:t xml:space="preserve">means a </w:t>
      </w:r>
      <w:r w:rsidR="00364FA3" w:rsidRPr="005218A0">
        <w:rPr>
          <w:rFonts w:ascii="Times New Roman" w:hAnsi="Times New Roman"/>
          <w:sz w:val="22"/>
          <w:szCs w:val="22"/>
        </w:rPr>
        <w:t>health plan that is intended to qualify as a high deductible health plan under</w:t>
      </w:r>
      <w:r w:rsidR="00014AFC" w:rsidRPr="005218A0">
        <w:rPr>
          <w:rFonts w:ascii="Times New Roman" w:hAnsi="Times New Roman"/>
          <w:sz w:val="22"/>
          <w:szCs w:val="22"/>
        </w:rPr>
        <w:t xml:space="preserve"> the </w:t>
      </w:r>
      <w:r w:rsidR="00364FA3" w:rsidRPr="005218A0">
        <w:rPr>
          <w:rFonts w:ascii="Times New Roman" w:hAnsi="Times New Roman"/>
          <w:sz w:val="22"/>
          <w:szCs w:val="22"/>
        </w:rPr>
        <w:t xml:space="preserve">federal </w:t>
      </w:r>
      <w:r w:rsidR="00014AFC" w:rsidRPr="00A00132">
        <w:rPr>
          <w:rFonts w:ascii="Times New Roman" w:hAnsi="Times New Roman"/>
          <w:i/>
          <w:iCs/>
          <w:sz w:val="22"/>
          <w:szCs w:val="22"/>
        </w:rPr>
        <w:t xml:space="preserve">Internal Revenue </w:t>
      </w:r>
      <w:r w:rsidR="00364FA3" w:rsidRPr="00A00132">
        <w:rPr>
          <w:rFonts w:ascii="Times New Roman" w:hAnsi="Times New Roman"/>
          <w:i/>
          <w:iCs/>
          <w:sz w:val="22"/>
          <w:szCs w:val="22"/>
        </w:rPr>
        <w:t>Code</w:t>
      </w:r>
      <w:r w:rsidR="00364FA3" w:rsidRPr="005218A0">
        <w:rPr>
          <w:rFonts w:ascii="Times New Roman" w:hAnsi="Times New Roman"/>
          <w:sz w:val="22"/>
          <w:szCs w:val="22"/>
        </w:rPr>
        <w:t xml:space="preserve"> for purposes of eligibility to maintain a tax-exempt Health Savings Account</w:t>
      </w:r>
      <w:r w:rsidR="00014AFC" w:rsidRPr="005218A0">
        <w:rPr>
          <w:rFonts w:ascii="Times New Roman" w:hAnsi="Times New Roman"/>
          <w:sz w:val="22"/>
          <w:szCs w:val="22"/>
        </w:rPr>
        <w:t>.</w:t>
      </w:r>
    </w:p>
    <w:p w14:paraId="270B256A" w14:textId="71A71BA9" w:rsidR="00044C86" w:rsidRPr="005218A0" w:rsidRDefault="00044C86" w:rsidP="00412731">
      <w:pPr>
        <w:ind w:left="1440" w:hanging="720"/>
        <w:rPr>
          <w:rFonts w:ascii="Times New Roman" w:hAnsi="Times New Roman"/>
          <w:sz w:val="22"/>
          <w:szCs w:val="22"/>
        </w:rPr>
      </w:pPr>
    </w:p>
    <w:p w14:paraId="32DD1F87" w14:textId="42FF8C37" w:rsidR="00044C86" w:rsidRPr="005218A0" w:rsidRDefault="00AA1B5A" w:rsidP="00412731">
      <w:pPr>
        <w:ind w:left="1440" w:hanging="720"/>
        <w:rPr>
          <w:rFonts w:ascii="Times New Roman" w:hAnsi="Times New Roman"/>
          <w:sz w:val="22"/>
          <w:szCs w:val="22"/>
        </w:rPr>
      </w:pPr>
      <w:r w:rsidRPr="005218A0">
        <w:rPr>
          <w:rFonts w:ascii="Times New Roman" w:hAnsi="Times New Roman"/>
          <w:sz w:val="22"/>
          <w:szCs w:val="22"/>
        </w:rPr>
        <w:t>5</w:t>
      </w:r>
      <w:r w:rsidR="00044C86" w:rsidRPr="005218A0">
        <w:rPr>
          <w:rFonts w:ascii="Times New Roman" w:hAnsi="Times New Roman"/>
          <w:sz w:val="22"/>
          <w:szCs w:val="22"/>
        </w:rPr>
        <w:t>.</w:t>
      </w:r>
      <w:r w:rsidR="00044C86" w:rsidRPr="005218A0">
        <w:rPr>
          <w:rFonts w:ascii="Times New Roman" w:hAnsi="Times New Roman"/>
          <w:sz w:val="22"/>
          <w:szCs w:val="22"/>
        </w:rPr>
        <w:tab/>
        <w:t>“Marketplace” means the Maine Health Insurance Marketplace established pursuant to 22 M.R.S. §5403.</w:t>
      </w:r>
    </w:p>
    <w:p w14:paraId="60B2FB50" w14:textId="4D600407" w:rsidR="004A7ADA" w:rsidRPr="005218A0" w:rsidRDefault="004A7ADA" w:rsidP="00412731">
      <w:pPr>
        <w:ind w:left="1440" w:hanging="720"/>
        <w:rPr>
          <w:rFonts w:ascii="Times New Roman" w:hAnsi="Times New Roman"/>
          <w:sz w:val="22"/>
          <w:szCs w:val="22"/>
        </w:rPr>
      </w:pPr>
    </w:p>
    <w:p w14:paraId="778763D2" w14:textId="33302A50" w:rsidR="004A7ADA" w:rsidRPr="005218A0" w:rsidRDefault="004A7ADA" w:rsidP="00412731">
      <w:pPr>
        <w:ind w:left="1440" w:hanging="720"/>
        <w:rPr>
          <w:rFonts w:ascii="Times New Roman" w:hAnsi="Times New Roman"/>
          <w:sz w:val="22"/>
          <w:szCs w:val="22"/>
        </w:rPr>
      </w:pPr>
      <w:r w:rsidRPr="005218A0">
        <w:rPr>
          <w:rFonts w:ascii="Times New Roman" w:hAnsi="Times New Roman"/>
          <w:sz w:val="22"/>
          <w:szCs w:val="22"/>
        </w:rPr>
        <w:t>6.</w:t>
      </w:r>
      <w:r w:rsidRPr="005218A0">
        <w:rPr>
          <w:rFonts w:ascii="Times New Roman" w:hAnsi="Times New Roman"/>
          <w:sz w:val="22"/>
          <w:szCs w:val="22"/>
        </w:rPr>
        <w:tab/>
        <w:t>“Pooled market implementation year” means the implementation year established by the Superintendent pursuant to Chapter 856 of these rules, “Combination of the Individual and Small Business Health Insurance Risk Pools</w:t>
      </w:r>
      <w:r w:rsidR="003F41B0" w:rsidRPr="005218A0">
        <w:rPr>
          <w:rFonts w:ascii="Times New Roman" w:hAnsi="Times New Roman"/>
          <w:sz w:val="22"/>
          <w:szCs w:val="22"/>
        </w:rPr>
        <w:t>.</w:t>
      </w:r>
      <w:r w:rsidRPr="005218A0">
        <w:rPr>
          <w:rFonts w:ascii="Times New Roman" w:hAnsi="Times New Roman"/>
          <w:sz w:val="22"/>
          <w:szCs w:val="22"/>
        </w:rPr>
        <w:t>”</w:t>
      </w:r>
    </w:p>
    <w:p w14:paraId="4F265BF3" w14:textId="77777777" w:rsidR="00BC136C" w:rsidRPr="005218A0" w:rsidRDefault="00BC136C" w:rsidP="00CB71BA">
      <w:pPr>
        <w:ind w:left="720" w:hanging="720"/>
        <w:rPr>
          <w:rFonts w:ascii="Times New Roman" w:hAnsi="Times New Roman"/>
          <w:sz w:val="22"/>
          <w:szCs w:val="22"/>
        </w:rPr>
      </w:pPr>
    </w:p>
    <w:p w14:paraId="66F0A76B" w14:textId="77777777" w:rsidR="0042338A" w:rsidRPr="005218A0" w:rsidRDefault="0042338A" w:rsidP="00CB71BA">
      <w:pPr>
        <w:ind w:left="720" w:hanging="720"/>
        <w:rPr>
          <w:rFonts w:ascii="Times New Roman" w:hAnsi="Times New Roman"/>
          <w:sz w:val="22"/>
          <w:szCs w:val="22"/>
        </w:rPr>
      </w:pPr>
    </w:p>
    <w:p w14:paraId="71C01ACF" w14:textId="44018F08" w:rsidR="00E32518" w:rsidRPr="005218A0" w:rsidRDefault="00E32518" w:rsidP="00B75C22">
      <w:pPr>
        <w:keepNext/>
        <w:rPr>
          <w:rFonts w:ascii="Times New Roman" w:hAnsi="Times New Roman"/>
          <w:b/>
          <w:sz w:val="22"/>
          <w:szCs w:val="22"/>
        </w:rPr>
      </w:pPr>
      <w:r w:rsidRPr="005218A0">
        <w:rPr>
          <w:rFonts w:ascii="Times New Roman" w:hAnsi="Times New Roman"/>
          <w:b/>
          <w:sz w:val="22"/>
          <w:szCs w:val="22"/>
        </w:rPr>
        <w:t>Section 4.</w:t>
      </w:r>
      <w:r w:rsidRPr="005218A0">
        <w:rPr>
          <w:rFonts w:ascii="Times New Roman" w:hAnsi="Times New Roman"/>
          <w:b/>
          <w:sz w:val="22"/>
          <w:szCs w:val="22"/>
        </w:rPr>
        <w:tab/>
      </w:r>
      <w:r w:rsidR="00B04012" w:rsidRPr="005218A0">
        <w:rPr>
          <w:rFonts w:ascii="Times New Roman" w:hAnsi="Times New Roman"/>
          <w:b/>
          <w:sz w:val="22"/>
          <w:szCs w:val="22"/>
        </w:rPr>
        <w:t xml:space="preserve">General </w:t>
      </w:r>
      <w:r w:rsidR="003F0575" w:rsidRPr="005218A0">
        <w:rPr>
          <w:rFonts w:ascii="Times New Roman" w:hAnsi="Times New Roman"/>
          <w:b/>
          <w:sz w:val="22"/>
          <w:szCs w:val="22"/>
        </w:rPr>
        <w:t>Provisions</w:t>
      </w:r>
    </w:p>
    <w:p w14:paraId="71B7FEA9" w14:textId="77777777" w:rsidR="00D52C1E" w:rsidRPr="005218A0" w:rsidRDefault="00D52C1E" w:rsidP="00B75C22">
      <w:pPr>
        <w:keepNext/>
        <w:rPr>
          <w:rFonts w:ascii="Times New Roman" w:hAnsi="Times New Roman"/>
          <w:b/>
          <w:sz w:val="22"/>
          <w:szCs w:val="22"/>
        </w:rPr>
      </w:pPr>
    </w:p>
    <w:p w14:paraId="03CE5DE0" w14:textId="296AEA8B" w:rsidR="0000127A" w:rsidRPr="005218A0" w:rsidRDefault="00B04012" w:rsidP="00271005">
      <w:pPr>
        <w:ind w:left="1440" w:hanging="720"/>
        <w:rPr>
          <w:rFonts w:ascii="Times New Roman" w:hAnsi="Times New Roman"/>
          <w:sz w:val="22"/>
          <w:szCs w:val="22"/>
        </w:rPr>
      </w:pPr>
      <w:r w:rsidRPr="005218A0">
        <w:rPr>
          <w:rFonts w:ascii="Times New Roman" w:hAnsi="Times New Roman"/>
          <w:sz w:val="22"/>
          <w:szCs w:val="22"/>
        </w:rPr>
        <w:t>1</w:t>
      </w:r>
      <w:r w:rsidR="004467B2" w:rsidRPr="005218A0">
        <w:rPr>
          <w:rFonts w:ascii="Times New Roman" w:hAnsi="Times New Roman"/>
          <w:sz w:val="22"/>
          <w:szCs w:val="22"/>
        </w:rPr>
        <w:t>.</w:t>
      </w:r>
      <w:r w:rsidR="004467B2" w:rsidRPr="005218A0">
        <w:rPr>
          <w:rFonts w:ascii="Times New Roman" w:hAnsi="Times New Roman"/>
          <w:sz w:val="22"/>
          <w:szCs w:val="22"/>
        </w:rPr>
        <w:tab/>
      </w:r>
      <w:r w:rsidR="0000127A" w:rsidRPr="005218A0">
        <w:rPr>
          <w:rFonts w:ascii="Times New Roman" w:hAnsi="Times New Roman"/>
          <w:sz w:val="22"/>
          <w:szCs w:val="22"/>
        </w:rPr>
        <w:t xml:space="preserve">Each plan subject to this rule must </w:t>
      </w:r>
      <w:r w:rsidR="00BD57CF" w:rsidRPr="005218A0">
        <w:rPr>
          <w:rFonts w:ascii="Times New Roman" w:hAnsi="Times New Roman"/>
          <w:sz w:val="22"/>
          <w:szCs w:val="22"/>
        </w:rPr>
        <w:t xml:space="preserve">be </w:t>
      </w:r>
      <w:r w:rsidR="001D6B77" w:rsidRPr="005218A0">
        <w:rPr>
          <w:rFonts w:ascii="Times New Roman" w:hAnsi="Times New Roman"/>
          <w:sz w:val="22"/>
          <w:szCs w:val="22"/>
        </w:rPr>
        <w:t xml:space="preserve">a Clear Choice Plan approved under Section 5 or an Alternative Plan approved under Section </w:t>
      </w:r>
      <w:r w:rsidR="00256772" w:rsidRPr="005218A0">
        <w:rPr>
          <w:rFonts w:ascii="Times New Roman" w:hAnsi="Times New Roman"/>
          <w:sz w:val="22"/>
          <w:szCs w:val="22"/>
        </w:rPr>
        <w:t>6</w:t>
      </w:r>
      <w:r w:rsidR="001D6B77" w:rsidRPr="005218A0">
        <w:rPr>
          <w:rFonts w:ascii="Times New Roman" w:hAnsi="Times New Roman"/>
          <w:sz w:val="22"/>
          <w:szCs w:val="22"/>
        </w:rPr>
        <w:t>.</w:t>
      </w:r>
    </w:p>
    <w:p w14:paraId="1120B443" w14:textId="77777777" w:rsidR="0000127A" w:rsidRPr="005218A0" w:rsidRDefault="0000127A" w:rsidP="00271005">
      <w:pPr>
        <w:ind w:left="1440" w:hanging="720"/>
        <w:rPr>
          <w:rFonts w:ascii="Times New Roman" w:hAnsi="Times New Roman"/>
          <w:sz w:val="22"/>
          <w:szCs w:val="22"/>
        </w:rPr>
      </w:pPr>
    </w:p>
    <w:p w14:paraId="774B201A" w14:textId="05B4A5C6" w:rsidR="00B04012" w:rsidRPr="005218A0" w:rsidRDefault="0000127A" w:rsidP="00271005">
      <w:pPr>
        <w:ind w:left="144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r>
      <w:r w:rsidR="00BD57CF" w:rsidRPr="005218A0">
        <w:rPr>
          <w:rFonts w:ascii="Times New Roman" w:hAnsi="Times New Roman"/>
          <w:sz w:val="22"/>
          <w:szCs w:val="22"/>
        </w:rPr>
        <w:t xml:space="preserve">Each </w:t>
      </w:r>
      <w:r w:rsidRPr="005218A0">
        <w:rPr>
          <w:rFonts w:ascii="Times New Roman" w:hAnsi="Times New Roman"/>
          <w:sz w:val="22"/>
          <w:szCs w:val="22"/>
        </w:rPr>
        <w:t>p</w:t>
      </w:r>
      <w:r w:rsidR="00B04012" w:rsidRPr="005218A0">
        <w:rPr>
          <w:rFonts w:ascii="Times New Roman" w:hAnsi="Times New Roman"/>
          <w:sz w:val="22"/>
          <w:szCs w:val="22"/>
        </w:rPr>
        <w:t>lan subject to this rule must comply with all applicable benefit and provider mandates under state law and the ACA, including all essential health benefits specified in accordance with 24-A M.R.S. §4320-D.</w:t>
      </w:r>
      <w:r w:rsidR="0081396B" w:rsidRPr="005218A0">
        <w:rPr>
          <w:rFonts w:ascii="Times New Roman" w:hAnsi="Times New Roman"/>
          <w:sz w:val="22"/>
          <w:szCs w:val="22"/>
        </w:rPr>
        <w:t xml:space="preserve"> Behavioral health benefits must comply with all applicable parity requirements.</w:t>
      </w:r>
    </w:p>
    <w:p w14:paraId="3C4603EE" w14:textId="65119D79" w:rsidR="00B04012" w:rsidRPr="005218A0" w:rsidRDefault="00B04012" w:rsidP="00D33031">
      <w:pPr>
        <w:ind w:left="720" w:hanging="720"/>
        <w:rPr>
          <w:rFonts w:ascii="Times New Roman" w:hAnsi="Times New Roman"/>
          <w:sz w:val="22"/>
          <w:szCs w:val="22"/>
        </w:rPr>
      </w:pPr>
    </w:p>
    <w:p w14:paraId="6FD306E4" w14:textId="32068B5C" w:rsidR="00B04012" w:rsidRPr="005218A0" w:rsidRDefault="00B04012" w:rsidP="0027100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 xml:space="preserve">This rule shall not be construed as creating any new or additional benefit or provider mandates. </w:t>
      </w:r>
      <w:r w:rsidR="0000127A" w:rsidRPr="005218A0">
        <w:rPr>
          <w:rFonts w:ascii="Times New Roman" w:hAnsi="Times New Roman"/>
          <w:sz w:val="22"/>
          <w:szCs w:val="22"/>
        </w:rPr>
        <w:t>A</w:t>
      </w:r>
      <w:r w:rsidRPr="005218A0">
        <w:rPr>
          <w:rFonts w:ascii="Times New Roman" w:hAnsi="Times New Roman"/>
          <w:sz w:val="22"/>
          <w:szCs w:val="22"/>
        </w:rPr>
        <w:t xml:space="preserve"> plan</w:t>
      </w:r>
      <w:r w:rsidR="0000127A" w:rsidRPr="005218A0">
        <w:rPr>
          <w:rFonts w:ascii="Times New Roman" w:hAnsi="Times New Roman"/>
          <w:sz w:val="22"/>
          <w:szCs w:val="22"/>
        </w:rPr>
        <w:t>’s failure to</w:t>
      </w:r>
      <w:r w:rsidRPr="005218A0">
        <w:rPr>
          <w:rFonts w:ascii="Times New Roman" w:hAnsi="Times New Roman"/>
          <w:sz w:val="22"/>
          <w:szCs w:val="22"/>
        </w:rPr>
        <w:t xml:space="preserve"> provide a particular </w:t>
      </w:r>
      <w:r w:rsidR="0000127A" w:rsidRPr="005218A0">
        <w:rPr>
          <w:rFonts w:ascii="Times New Roman" w:hAnsi="Times New Roman"/>
          <w:sz w:val="22"/>
          <w:szCs w:val="22"/>
        </w:rPr>
        <w:t>benefit</w:t>
      </w:r>
      <w:r w:rsidRPr="005218A0">
        <w:rPr>
          <w:rFonts w:ascii="Times New Roman" w:hAnsi="Times New Roman"/>
          <w:sz w:val="22"/>
          <w:szCs w:val="22"/>
        </w:rPr>
        <w:t xml:space="preserve"> that is identified in a Clear Choice Design</w:t>
      </w:r>
      <w:r w:rsidR="00DC30FF" w:rsidRPr="005218A0">
        <w:rPr>
          <w:rFonts w:ascii="Times New Roman" w:hAnsi="Times New Roman"/>
          <w:sz w:val="22"/>
          <w:szCs w:val="22"/>
        </w:rPr>
        <w:t>, if otherwise permitted by law,</w:t>
      </w:r>
      <w:r w:rsidR="0000127A" w:rsidRPr="005218A0">
        <w:rPr>
          <w:rFonts w:ascii="Times New Roman" w:hAnsi="Times New Roman"/>
          <w:sz w:val="22"/>
          <w:szCs w:val="22"/>
        </w:rPr>
        <w:t xml:space="preserve"> does not prevent that plan from conforming to that Clear Choice Design.</w:t>
      </w:r>
    </w:p>
    <w:p w14:paraId="6C8861F9" w14:textId="6B52DB28" w:rsidR="001D6B77" w:rsidRPr="005218A0" w:rsidRDefault="001D6B77" w:rsidP="00271005">
      <w:pPr>
        <w:ind w:left="2160" w:hanging="720"/>
        <w:rPr>
          <w:rFonts w:ascii="Times New Roman" w:hAnsi="Times New Roman"/>
          <w:sz w:val="22"/>
          <w:szCs w:val="22"/>
        </w:rPr>
      </w:pPr>
    </w:p>
    <w:p w14:paraId="22A91ED5" w14:textId="51B6BC62" w:rsidR="006211AA" w:rsidRPr="005218A0" w:rsidRDefault="006211AA" w:rsidP="00271005">
      <w:pPr>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t xml:space="preserve">Unless a </w:t>
      </w:r>
      <w:r w:rsidR="00256772" w:rsidRPr="005218A0">
        <w:rPr>
          <w:rFonts w:ascii="Times New Roman" w:hAnsi="Times New Roman"/>
          <w:sz w:val="22"/>
          <w:szCs w:val="22"/>
        </w:rPr>
        <w:t xml:space="preserve">federal </w:t>
      </w:r>
      <w:r w:rsidRPr="005218A0">
        <w:rPr>
          <w:rFonts w:ascii="Times New Roman" w:hAnsi="Times New Roman"/>
          <w:sz w:val="22"/>
          <w:szCs w:val="22"/>
        </w:rPr>
        <w:t>waiver is granted, federal requirements preempt conflicting state requirements. In particular, as long as the applicable federal prohibitions remain in force</w:t>
      </w:r>
      <w:r w:rsidR="005F4571" w:rsidRPr="005218A0">
        <w:rPr>
          <w:rFonts w:ascii="Times New Roman" w:hAnsi="Times New Roman"/>
          <w:sz w:val="22"/>
          <w:szCs w:val="22"/>
        </w:rPr>
        <w:t xml:space="preserve"> and have not been waived</w:t>
      </w:r>
      <w:r w:rsidRPr="005218A0">
        <w:rPr>
          <w:rFonts w:ascii="Times New Roman" w:hAnsi="Times New Roman"/>
          <w:sz w:val="22"/>
          <w:szCs w:val="22"/>
        </w:rPr>
        <w:t>:</w:t>
      </w:r>
    </w:p>
    <w:p w14:paraId="1088B76B" w14:textId="77777777" w:rsidR="006211AA" w:rsidRPr="005218A0" w:rsidRDefault="006211AA" w:rsidP="00B04012">
      <w:pPr>
        <w:ind w:left="1440" w:hanging="720"/>
        <w:rPr>
          <w:rFonts w:ascii="Times New Roman" w:hAnsi="Times New Roman"/>
          <w:sz w:val="22"/>
          <w:szCs w:val="22"/>
        </w:rPr>
      </w:pPr>
    </w:p>
    <w:p w14:paraId="64AE7F6C" w14:textId="675E4728" w:rsidR="006211AA" w:rsidRPr="005218A0" w:rsidRDefault="006211AA" w:rsidP="00271005">
      <w:pPr>
        <w:ind w:left="288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r>
      <w:r w:rsidR="00FB1246" w:rsidRPr="005218A0">
        <w:rPr>
          <w:rFonts w:ascii="Times New Roman" w:hAnsi="Times New Roman"/>
          <w:sz w:val="22"/>
          <w:szCs w:val="22"/>
        </w:rPr>
        <w:t xml:space="preserve">Catastrophic </w:t>
      </w:r>
      <w:r w:rsidR="003F41B0" w:rsidRPr="005218A0">
        <w:rPr>
          <w:rFonts w:ascii="Times New Roman" w:hAnsi="Times New Roman"/>
          <w:sz w:val="22"/>
          <w:szCs w:val="22"/>
        </w:rPr>
        <w:t xml:space="preserve">Plans </w:t>
      </w:r>
      <w:r w:rsidR="00FB1246" w:rsidRPr="005218A0">
        <w:rPr>
          <w:rFonts w:ascii="Times New Roman" w:hAnsi="Times New Roman"/>
          <w:sz w:val="22"/>
          <w:szCs w:val="22"/>
        </w:rPr>
        <w:t>may not be offered to small employers</w:t>
      </w:r>
      <w:r w:rsidRPr="005218A0">
        <w:rPr>
          <w:rFonts w:ascii="Times New Roman" w:hAnsi="Times New Roman"/>
          <w:sz w:val="22"/>
          <w:szCs w:val="22"/>
        </w:rPr>
        <w:t xml:space="preserve"> or ineligible individuals;</w:t>
      </w:r>
    </w:p>
    <w:p w14:paraId="75871DA0" w14:textId="5B887FCE" w:rsidR="006211AA" w:rsidRPr="005218A0" w:rsidRDefault="006211AA" w:rsidP="00271005">
      <w:pPr>
        <w:ind w:left="2880" w:hanging="720"/>
        <w:rPr>
          <w:rFonts w:ascii="Times New Roman" w:hAnsi="Times New Roman"/>
          <w:sz w:val="22"/>
          <w:szCs w:val="22"/>
        </w:rPr>
      </w:pPr>
    </w:p>
    <w:p w14:paraId="1E9BE545" w14:textId="26DCC038" w:rsidR="006211AA" w:rsidRPr="005218A0" w:rsidRDefault="006211AA"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r>
      <w:r w:rsidR="00FB1246" w:rsidRPr="005218A0">
        <w:rPr>
          <w:rFonts w:ascii="Times New Roman" w:hAnsi="Times New Roman"/>
          <w:sz w:val="22"/>
          <w:szCs w:val="22"/>
        </w:rPr>
        <w:t xml:space="preserve">Catastrophic Plans may not exempt any services from the deductible </w:t>
      </w:r>
      <w:r w:rsidR="00723CC2" w:rsidRPr="005218A0">
        <w:rPr>
          <w:rFonts w:ascii="Times New Roman" w:hAnsi="Times New Roman"/>
          <w:sz w:val="22"/>
          <w:szCs w:val="22"/>
        </w:rPr>
        <w:t>when prohibited by</w:t>
      </w:r>
      <w:r w:rsidR="00FB1246" w:rsidRPr="005218A0">
        <w:rPr>
          <w:rFonts w:ascii="Times New Roman" w:hAnsi="Times New Roman"/>
          <w:sz w:val="22"/>
          <w:szCs w:val="22"/>
        </w:rPr>
        <w:t xml:space="preserve"> the ACA; </w:t>
      </w:r>
      <w:r w:rsidRPr="005218A0">
        <w:rPr>
          <w:rFonts w:ascii="Times New Roman" w:hAnsi="Times New Roman"/>
          <w:sz w:val="22"/>
          <w:szCs w:val="22"/>
        </w:rPr>
        <w:t>and</w:t>
      </w:r>
    </w:p>
    <w:p w14:paraId="2A5EB4B7" w14:textId="6704373E" w:rsidR="006211AA" w:rsidRPr="005218A0" w:rsidRDefault="006211AA" w:rsidP="00271005">
      <w:pPr>
        <w:ind w:left="2880" w:hanging="720"/>
        <w:rPr>
          <w:rFonts w:ascii="Times New Roman" w:hAnsi="Times New Roman"/>
          <w:sz w:val="22"/>
          <w:szCs w:val="22"/>
        </w:rPr>
      </w:pPr>
    </w:p>
    <w:p w14:paraId="27C84248" w14:textId="4B81C258" w:rsidR="006211AA" w:rsidRPr="005218A0" w:rsidRDefault="006211AA" w:rsidP="00271005">
      <w:pPr>
        <w:ind w:left="28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 xml:space="preserve">HSA Plans may not exempt any services from the deductible that are not approved by the federal Internal Revenue Service for </w:t>
      </w:r>
      <w:r w:rsidR="007F6094" w:rsidRPr="005218A0">
        <w:rPr>
          <w:rFonts w:ascii="Times New Roman" w:hAnsi="Times New Roman"/>
          <w:sz w:val="22"/>
          <w:szCs w:val="22"/>
        </w:rPr>
        <w:t>pre-deductible</w:t>
      </w:r>
      <w:r w:rsidRPr="005218A0">
        <w:rPr>
          <w:rFonts w:ascii="Times New Roman" w:hAnsi="Times New Roman"/>
          <w:sz w:val="22"/>
          <w:szCs w:val="22"/>
        </w:rPr>
        <w:t xml:space="preserve"> coverage by high deductible health plans.</w:t>
      </w:r>
    </w:p>
    <w:p w14:paraId="6640A05D" w14:textId="77777777" w:rsidR="006211AA" w:rsidRPr="005218A0" w:rsidRDefault="006211AA" w:rsidP="00B04012">
      <w:pPr>
        <w:ind w:left="1440" w:hanging="720"/>
        <w:rPr>
          <w:rFonts w:ascii="Times New Roman" w:hAnsi="Times New Roman"/>
          <w:sz w:val="22"/>
          <w:szCs w:val="22"/>
        </w:rPr>
      </w:pPr>
    </w:p>
    <w:p w14:paraId="73D7D569" w14:textId="0AFF7A2B" w:rsidR="00B818D4" w:rsidRPr="005218A0" w:rsidRDefault="006211AA" w:rsidP="00271005">
      <w:pPr>
        <w:ind w:left="2160" w:hanging="720"/>
        <w:rPr>
          <w:rFonts w:ascii="Times New Roman" w:hAnsi="Times New Roman"/>
          <w:sz w:val="22"/>
          <w:szCs w:val="22"/>
        </w:rPr>
      </w:pPr>
      <w:r w:rsidRPr="005218A0">
        <w:rPr>
          <w:rFonts w:ascii="Times New Roman" w:hAnsi="Times New Roman"/>
          <w:sz w:val="22"/>
          <w:szCs w:val="22"/>
        </w:rPr>
        <w:t>C</w:t>
      </w:r>
      <w:r w:rsidR="001D6B77" w:rsidRPr="005218A0">
        <w:rPr>
          <w:rFonts w:ascii="Times New Roman" w:hAnsi="Times New Roman"/>
          <w:sz w:val="22"/>
          <w:szCs w:val="22"/>
        </w:rPr>
        <w:t>.</w:t>
      </w:r>
      <w:r w:rsidR="001D6B77" w:rsidRPr="005218A0">
        <w:rPr>
          <w:rFonts w:ascii="Times New Roman" w:hAnsi="Times New Roman"/>
          <w:sz w:val="22"/>
          <w:szCs w:val="22"/>
        </w:rPr>
        <w:tab/>
      </w:r>
      <w:r w:rsidR="00546CC3" w:rsidRPr="005218A0">
        <w:rPr>
          <w:rFonts w:ascii="Times New Roman" w:hAnsi="Times New Roman"/>
          <w:sz w:val="22"/>
          <w:szCs w:val="22"/>
        </w:rPr>
        <w:t>A plan’s inclusion of benefits that are not identified in a Clear Choice Design does not prevent that plan from conforming to that Clear Choice Design</w:t>
      </w:r>
      <w:r w:rsidR="00B818D4" w:rsidRPr="005218A0">
        <w:rPr>
          <w:rFonts w:ascii="Times New Roman" w:hAnsi="Times New Roman"/>
          <w:sz w:val="22"/>
          <w:szCs w:val="22"/>
        </w:rPr>
        <w:t>.</w:t>
      </w:r>
    </w:p>
    <w:p w14:paraId="17A7CADB" w14:textId="77777777" w:rsidR="0062594C" w:rsidRPr="005218A0" w:rsidRDefault="0062594C" w:rsidP="00271005">
      <w:pPr>
        <w:ind w:left="2160" w:hanging="720"/>
        <w:rPr>
          <w:rFonts w:ascii="Times New Roman" w:hAnsi="Times New Roman"/>
          <w:sz w:val="22"/>
          <w:szCs w:val="22"/>
        </w:rPr>
      </w:pPr>
    </w:p>
    <w:p w14:paraId="76ADDE6D" w14:textId="1C44D4E3" w:rsidR="0021480D" w:rsidRPr="005218A0" w:rsidRDefault="00875B38" w:rsidP="00271005">
      <w:pPr>
        <w:ind w:left="2160" w:hanging="720"/>
        <w:rPr>
          <w:rFonts w:ascii="Times New Roman" w:hAnsi="Times New Roman"/>
          <w:sz w:val="22"/>
          <w:szCs w:val="22"/>
        </w:rPr>
      </w:pPr>
      <w:r w:rsidRPr="005218A0">
        <w:rPr>
          <w:rFonts w:ascii="Times New Roman" w:hAnsi="Times New Roman"/>
          <w:sz w:val="22"/>
          <w:szCs w:val="22"/>
        </w:rPr>
        <w:t>D</w:t>
      </w:r>
      <w:r w:rsidR="0021480D" w:rsidRPr="005218A0">
        <w:rPr>
          <w:rFonts w:ascii="Times New Roman" w:hAnsi="Times New Roman"/>
          <w:sz w:val="22"/>
          <w:szCs w:val="22"/>
        </w:rPr>
        <w:t>.</w:t>
      </w:r>
      <w:r w:rsidR="0021480D" w:rsidRPr="005218A0">
        <w:rPr>
          <w:rFonts w:ascii="Times New Roman" w:hAnsi="Times New Roman"/>
          <w:sz w:val="22"/>
          <w:szCs w:val="22"/>
        </w:rPr>
        <w:tab/>
      </w:r>
      <w:r w:rsidR="00226700" w:rsidRPr="005218A0">
        <w:rPr>
          <w:rFonts w:ascii="Times New Roman" w:hAnsi="Times New Roman"/>
          <w:sz w:val="22"/>
          <w:szCs w:val="22"/>
        </w:rPr>
        <w:t>Clear Choice D</w:t>
      </w:r>
      <w:r w:rsidR="0021480D" w:rsidRPr="005218A0">
        <w:rPr>
          <w:rFonts w:ascii="Times New Roman" w:hAnsi="Times New Roman"/>
          <w:sz w:val="22"/>
          <w:szCs w:val="22"/>
        </w:rPr>
        <w:t xml:space="preserve">esigns do not address cost-sharing amounts for any out-of-network services. </w:t>
      </w:r>
      <w:r w:rsidR="00226700" w:rsidRPr="005218A0">
        <w:rPr>
          <w:rFonts w:ascii="Times New Roman" w:hAnsi="Times New Roman"/>
          <w:sz w:val="22"/>
          <w:szCs w:val="22"/>
        </w:rPr>
        <w:t xml:space="preserve">Plans may include any lawful cost-sharing design for out-of-network services, except when </w:t>
      </w:r>
      <w:r w:rsidR="0021480D" w:rsidRPr="005218A0">
        <w:rPr>
          <w:rFonts w:ascii="Times New Roman" w:hAnsi="Times New Roman"/>
          <w:sz w:val="22"/>
          <w:szCs w:val="22"/>
        </w:rPr>
        <w:t>network</w:t>
      </w:r>
      <w:r w:rsidR="00226700" w:rsidRPr="005218A0">
        <w:rPr>
          <w:rFonts w:ascii="Times New Roman" w:hAnsi="Times New Roman"/>
          <w:sz w:val="22"/>
          <w:szCs w:val="22"/>
        </w:rPr>
        <w:t>-level</w:t>
      </w:r>
      <w:r w:rsidR="0021480D" w:rsidRPr="005218A0">
        <w:rPr>
          <w:rFonts w:ascii="Times New Roman" w:hAnsi="Times New Roman"/>
          <w:sz w:val="22"/>
          <w:szCs w:val="22"/>
        </w:rPr>
        <w:t xml:space="preserve"> cost</w:t>
      </w:r>
      <w:r w:rsidR="00226700" w:rsidRPr="005218A0">
        <w:rPr>
          <w:rFonts w:ascii="Times New Roman" w:hAnsi="Times New Roman"/>
          <w:sz w:val="22"/>
          <w:szCs w:val="22"/>
        </w:rPr>
        <w:t xml:space="preserve"> </w:t>
      </w:r>
      <w:r w:rsidR="0021480D" w:rsidRPr="005218A0">
        <w:rPr>
          <w:rFonts w:ascii="Times New Roman" w:hAnsi="Times New Roman"/>
          <w:sz w:val="22"/>
          <w:szCs w:val="22"/>
        </w:rPr>
        <w:t>shar</w:t>
      </w:r>
      <w:r w:rsidR="00226700" w:rsidRPr="005218A0">
        <w:rPr>
          <w:rFonts w:ascii="Times New Roman" w:hAnsi="Times New Roman"/>
          <w:sz w:val="22"/>
          <w:szCs w:val="22"/>
        </w:rPr>
        <w:t xml:space="preserve">ing is </w:t>
      </w:r>
      <w:r w:rsidR="00226700" w:rsidRPr="005218A0">
        <w:rPr>
          <w:rFonts w:ascii="Times New Roman" w:hAnsi="Times New Roman"/>
          <w:sz w:val="22"/>
          <w:szCs w:val="22"/>
        </w:rPr>
        <w:lastRenderedPageBreak/>
        <w:t xml:space="preserve">required by law: </w:t>
      </w:r>
      <w:r w:rsidR="0021480D" w:rsidRPr="005218A0">
        <w:rPr>
          <w:rFonts w:ascii="Times New Roman" w:hAnsi="Times New Roman"/>
          <w:sz w:val="22"/>
          <w:szCs w:val="22"/>
        </w:rPr>
        <w:t>for example</w:t>
      </w:r>
      <w:r w:rsidR="00226700" w:rsidRPr="005218A0">
        <w:rPr>
          <w:rFonts w:ascii="Times New Roman" w:hAnsi="Times New Roman"/>
          <w:sz w:val="22"/>
          <w:szCs w:val="22"/>
        </w:rPr>
        <w:t>,</w:t>
      </w:r>
      <w:r w:rsidR="0021480D" w:rsidRPr="005218A0">
        <w:rPr>
          <w:rFonts w:ascii="Times New Roman" w:hAnsi="Times New Roman"/>
          <w:sz w:val="22"/>
          <w:szCs w:val="22"/>
        </w:rPr>
        <w:t xml:space="preserve"> emergency services</w:t>
      </w:r>
      <w:r w:rsidR="00226700" w:rsidRPr="005218A0">
        <w:rPr>
          <w:rFonts w:ascii="Times New Roman" w:hAnsi="Times New Roman"/>
          <w:sz w:val="22"/>
          <w:szCs w:val="22"/>
        </w:rPr>
        <w:t>, surprise bills, and cases of network inadequacy or unavailability</w:t>
      </w:r>
      <w:r w:rsidR="0021480D" w:rsidRPr="005218A0">
        <w:rPr>
          <w:rFonts w:ascii="Times New Roman" w:hAnsi="Times New Roman"/>
          <w:sz w:val="22"/>
          <w:szCs w:val="22"/>
        </w:rPr>
        <w:t>.</w:t>
      </w:r>
    </w:p>
    <w:p w14:paraId="44907D15" w14:textId="598B1D5A" w:rsidR="00B818D4" w:rsidRPr="005218A0" w:rsidRDefault="00B818D4" w:rsidP="00271005">
      <w:pPr>
        <w:ind w:left="2160" w:hanging="720"/>
        <w:rPr>
          <w:rFonts w:ascii="Times New Roman" w:hAnsi="Times New Roman"/>
          <w:sz w:val="22"/>
          <w:szCs w:val="22"/>
        </w:rPr>
      </w:pPr>
    </w:p>
    <w:p w14:paraId="5397482C" w14:textId="08CAF095" w:rsidR="00B818D4" w:rsidRPr="005218A0" w:rsidRDefault="00875B38" w:rsidP="00271005">
      <w:pPr>
        <w:ind w:left="2160" w:hanging="720"/>
        <w:rPr>
          <w:rFonts w:ascii="Times New Roman" w:hAnsi="Times New Roman"/>
          <w:sz w:val="22"/>
          <w:szCs w:val="22"/>
        </w:rPr>
      </w:pPr>
      <w:r w:rsidRPr="005218A0">
        <w:rPr>
          <w:rFonts w:ascii="Times New Roman" w:hAnsi="Times New Roman"/>
          <w:sz w:val="22"/>
          <w:szCs w:val="22"/>
        </w:rPr>
        <w:t>E</w:t>
      </w:r>
      <w:r w:rsidR="00B818D4" w:rsidRPr="005218A0">
        <w:rPr>
          <w:rFonts w:ascii="Times New Roman" w:hAnsi="Times New Roman"/>
          <w:sz w:val="22"/>
          <w:szCs w:val="22"/>
        </w:rPr>
        <w:t>.</w:t>
      </w:r>
      <w:r w:rsidR="00B818D4" w:rsidRPr="005218A0">
        <w:rPr>
          <w:rFonts w:ascii="Times New Roman" w:hAnsi="Times New Roman"/>
          <w:sz w:val="22"/>
          <w:szCs w:val="22"/>
        </w:rPr>
        <w:tab/>
        <w:t>Two plans shall be treated as different options within a single Clear Choice Design or within a single Alternative Plan Design if they differ only by characteristics that are not specified in the cost-sharing design, or that are expressly permitted to vary, including but not limited to:</w:t>
      </w:r>
    </w:p>
    <w:p w14:paraId="6DB89E18" w14:textId="77777777" w:rsidR="00B818D4" w:rsidRPr="005218A0" w:rsidRDefault="00B818D4" w:rsidP="00B818D4">
      <w:pPr>
        <w:ind w:left="1440" w:hanging="720"/>
        <w:rPr>
          <w:rFonts w:ascii="Times New Roman" w:hAnsi="Times New Roman"/>
          <w:sz w:val="22"/>
          <w:szCs w:val="22"/>
        </w:rPr>
      </w:pPr>
    </w:p>
    <w:p w14:paraId="5E95DDF3" w14:textId="4D78C717" w:rsidR="00B818D4" w:rsidRPr="005218A0" w:rsidRDefault="00B818D4" w:rsidP="00271005">
      <w:pPr>
        <w:ind w:left="288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r>
      <w:r w:rsidR="00875B38" w:rsidRPr="005218A0">
        <w:rPr>
          <w:rFonts w:ascii="Times New Roman" w:hAnsi="Times New Roman"/>
          <w:sz w:val="22"/>
          <w:szCs w:val="22"/>
        </w:rPr>
        <w:t>Whet</w:t>
      </w:r>
      <w:r w:rsidRPr="005218A0">
        <w:rPr>
          <w:rFonts w:ascii="Times New Roman" w:hAnsi="Times New Roman"/>
          <w:sz w:val="22"/>
          <w:szCs w:val="22"/>
        </w:rPr>
        <w:t>he</w:t>
      </w:r>
      <w:r w:rsidR="00875B38" w:rsidRPr="005218A0">
        <w:rPr>
          <w:rFonts w:ascii="Times New Roman" w:hAnsi="Times New Roman"/>
          <w:sz w:val="22"/>
          <w:szCs w:val="22"/>
        </w:rPr>
        <w:t>r</w:t>
      </w:r>
      <w:r w:rsidRPr="005218A0">
        <w:rPr>
          <w:rFonts w:ascii="Times New Roman" w:hAnsi="Times New Roman"/>
          <w:sz w:val="22"/>
          <w:szCs w:val="22"/>
        </w:rPr>
        <w:t xml:space="preserve"> </w:t>
      </w:r>
      <w:r w:rsidR="00875B38" w:rsidRPr="005218A0">
        <w:rPr>
          <w:rFonts w:ascii="Times New Roman" w:hAnsi="Times New Roman"/>
          <w:sz w:val="22"/>
          <w:szCs w:val="22"/>
        </w:rPr>
        <w:t xml:space="preserve">the plan </w:t>
      </w:r>
      <w:r w:rsidRPr="005218A0">
        <w:rPr>
          <w:rFonts w:ascii="Times New Roman" w:hAnsi="Times New Roman"/>
          <w:sz w:val="22"/>
          <w:szCs w:val="22"/>
        </w:rPr>
        <w:t>inclu</w:t>
      </w:r>
      <w:r w:rsidR="00875B38" w:rsidRPr="005218A0">
        <w:rPr>
          <w:rFonts w:ascii="Times New Roman" w:hAnsi="Times New Roman"/>
          <w:sz w:val="22"/>
          <w:szCs w:val="22"/>
        </w:rPr>
        <w:t>de</w:t>
      </w:r>
      <w:r w:rsidRPr="005218A0">
        <w:rPr>
          <w:rFonts w:ascii="Times New Roman" w:hAnsi="Times New Roman"/>
          <w:sz w:val="22"/>
          <w:szCs w:val="22"/>
        </w:rPr>
        <w:t>s or exclu</w:t>
      </w:r>
      <w:r w:rsidR="00875B38" w:rsidRPr="005218A0">
        <w:rPr>
          <w:rFonts w:ascii="Times New Roman" w:hAnsi="Times New Roman"/>
          <w:sz w:val="22"/>
          <w:szCs w:val="22"/>
        </w:rPr>
        <w:t>de</w:t>
      </w:r>
      <w:r w:rsidRPr="005218A0">
        <w:rPr>
          <w:rFonts w:ascii="Times New Roman" w:hAnsi="Times New Roman"/>
          <w:sz w:val="22"/>
          <w:szCs w:val="22"/>
        </w:rPr>
        <w:t>s</w:t>
      </w:r>
      <w:r w:rsidR="00875B38" w:rsidRPr="005218A0">
        <w:rPr>
          <w:rFonts w:ascii="Times New Roman" w:hAnsi="Times New Roman"/>
          <w:sz w:val="22"/>
          <w:szCs w:val="22"/>
        </w:rPr>
        <w:t xml:space="preserve"> </w:t>
      </w:r>
      <w:r w:rsidRPr="005218A0">
        <w:rPr>
          <w:rFonts w:ascii="Times New Roman" w:hAnsi="Times New Roman"/>
          <w:sz w:val="22"/>
          <w:szCs w:val="22"/>
        </w:rPr>
        <w:t>pediatric dental benefits, to the extent permitted by law;</w:t>
      </w:r>
    </w:p>
    <w:p w14:paraId="2D7A8A29" w14:textId="51130156" w:rsidR="000C71F8" w:rsidRPr="005218A0" w:rsidRDefault="000C71F8" w:rsidP="00271005">
      <w:pPr>
        <w:ind w:left="2880" w:hanging="720"/>
        <w:rPr>
          <w:rFonts w:ascii="Times New Roman" w:hAnsi="Times New Roman"/>
          <w:sz w:val="22"/>
          <w:szCs w:val="22"/>
        </w:rPr>
      </w:pPr>
    </w:p>
    <w:p w14:paraId="61273428" w14:textId="1EB21537" w:rsidR="000C71F8" w:rsidRPr="005218A0" w:rsidRDefault="000C71F8"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Whether the plan is a Silver plan variant providing cost-sharing reductions as determined by the carrier in accordance with the ACA</w:t>
      </w:r>
      <w:r w:rsidR="00FB43B7" w:rsidRPr="005218A0">
        <w:rPr>
          <w:rFonts w:ascii="Times New Roman" w:hAnsi="Times New Roman"/>
          <w:sz w:val="22"/>
          <w:szCs w:val="22"/>
        </w:rPr>
        <w:t>;</w:t>
      </w:r>
    </w:p>
    <w:p w14:paraId="3670AE63" w14:textId="77777777" w:rsidR="00B818D4" w:rsidRPr="005218A0" w:rsidRDefault="00B818D4" w:rsidP="00271005">
      <w:pPr>
        <w:ind w:left="2880" w:hanging="720"/>
        <w:rPr>
          <w:rFonts w:ascii="Times New Roman" w:hAnsi="Times New Roman"/>
          <w:sz w:val="22"/>
          <w:szCs w:val="22"/>
        </w:rPr>
      </w:pPr>
    </w:p>
    <w:p w14:paraId="1BDED027" w14:textId="4C0992B8" w:rsidR="00B818D4" w:rsidRPr="005218A0" w:rsidRDefault="00B818D4"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3</w:t>
      </w:r>
      <w:r w:rsidRPr="005218A0">
        <w:rPr>
          <w:rFonts w:ascii="Times New Roman" w:hAnsi="Times New Roman"/>
          <w:sz w:val="22"/>
          <w:szCs w:val="22"/>
        </w:rPr>
        <w:t>)</w:t>
      </w:r>
      <w:r w:rsidRPr="005218A0">
        <w:rPr>
          <w:rFonts w:ascii="Times New Roman" w:hAnsi="Times New Roman"/>
          <w:sz w:val="22"/>
          <w:szCs w:val="22"/>
        </w:rPr>
        <w:tab/>
        <w:t>Whether the plan is a preferred provider arrangement, a health maintenance organization plan, or a point-of-service health maintenance organization plan;</w:t>
      </w:r>
    </w:p>
    <w:p w14:paraId="4DE426E2" w14:textId="77777777" w:rsidR="00B818D4" w:rsidRPr="005218A0" w:rsidRDefault="00B818D4" w:rsidP="00271005">
      <w:pPr>
        <w:ind w:left="2880" w:hanging="720"/>
        <w:rPr>
          <w:rFonts w:ascii="Times New Roman" w:hAnsi="Times New Roman"/>
          <w:sz w:val="22"/>
          <w:szCs w:val="22"/>
        </w:rPr>
      </w:pPr>
    </w:p>
    <w:p w14:paraId="528B1BB7" w14:textId="264E7423" w:rsidR="0026003C" w:rsidRPr="005218A0" w:rsidRDefault="00B818D4"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4</w:t>
      </w:r>
      <w:r w:rsidRPr="005218A0">
        <w:rPr>
          <w:rFonts w:ascii="Times New Roman" w:hAnsi="Times New Roman"/>
          <w:sz w:val="22"/>
          <w:szCs w:val="22"/>
        </w:rPr>
        <w:t>)</w:t>
      </w:r>
      <w:r w:rsidRPr="005218A0">
        <w:rPr>
          <w:rFonts w:ascii="Times New Roman" w:hAnsi="Times New Roman"/>
          <w:sz w:val="22"/>
          <w:szCs w:val="22"/>
        </w:rPr>
        <w:tab/>
        <w:t>Whether the plan uses a tiered network</w:t>
      </w:r>
      <w:r w:rsidR="009B7BE0" w:rsidRPr="005218A0">
        <w:rPr>
          <w:rFonts w:ascii="Times New Roman" w:hAnsi="Times New Roman"/>
          <w:sz w:val="22"/>
          <w:szCs w:val="22"/>
        </w:rPr>
        <w:t xml:space="preserve">. </w:t>
      </w:r>
      <w:bookmarkStart w:id="4" w:name="_Hlk71113943"/>
      <w:r w:rsidR="009B7BE0" w:rsidRPr="005218A0">
        <w:rPr>
          <w:rFonts w:ascii="Times New Roman" w:hAnsi="Times New Roman"/>
          <w:sz w:val="22"/>
          <w:szCs w:val="22"/>
        </w:rPr>
        <w:t xml:space="preserve">Tiered network plans may be offered as Clear Choice Plans as long as the specified cost sharing is offered at the broadest network tier; </w:t>
      </w:r>
      <w:bookmarkEnd w:id="4"/>
    </w:p>
    <w:p w14:paraId="5B5E678C" w14:textId="77777777" w:rsidR="0026003C" w:rsidRPr="005218A0" w:rsidRDefault="0026003C" w:rsidP="00271005">
      <w:pPr>
        <w:ind w:left="2880" w:hanging="720"/>
        <w:rPr>
          <w:rFonts w:ascii="Times New Roman" w:hAnsi="Times New Roman"/>
          <w:sz w:val="22"/>
          <w:szCs w:val="22"/>
        </w:rPr>
      </w:pPr>
    </w:p>
    <w:p w14:paraId="1F2D857F" w14:textId="2ACA2DA5" w:rsidR="009B7BE0" w:rsidRPr="005218A0" w:rsidRDefault="0026003C"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5</w:t>
      </w:r>
      <w:r w:rsidRPr="005218A0">
        <w:rPr>
          <w:rFonts w:ascii="Times New Roman" w:hAnsi="Times New Roman"/>
          <w:sz w:val="22"/>
          <w:szCs w:val="22"/>
        </w:rPr>
        <w:t>)</w:t>
      </w:r>
      <w:r w:rsidRPr="005218A0">
        <w:rPr>
          <w:rFonts w:ascii="Times New Roman" w:hAnsi="Times New Roman"/>
          <w:sz w:val="22"/>
          <w:szCs w:val="22"/>
        </w:rPr>
        <w:tab/>
        <w:t xml:space="preserve">Whether the plan </w:t>
      </w:r>
      <w:r w:rsidR="00887F59" w:rsidRPr="005218A0">
        <w:rPr>
          <w:rFonts w:ascii="Times New Roman" w:hAnsi="Times New Roman"/>
          <w:sz w:val="22"/>
          <w:szCs w:val="22"/>
        </w:rPr>
        <w:t>includes</w:t>
      </w:r>
      <w:r w:rsidRPr="005218A0">
        <w:rPr>
          <w:rFonts w:ascii="Times New Roman" w:hAnsi="Times New Roman"/>
          <w:sz w:val="22"/>
          <w:szCs w:val="22"/>
        </w:rPr>
        <w:t xml:space="preserve"> an additional tier for low-cost generic prescription drugs,</w:t>
      </w:r>
      <w:r w:rsidR="00887F59" w:rsidRPr="005218A0">
        <w:rPr>
          <w:rFonts w:ascii="Times New Roman" w:hAnsi="Times New Roman"/>
          <w:sz w:val="22"/>
          <w:szCs w:val="22"/>
        </w:rPr>
        <w:t xml:space="preserve"> with a lower copayment than the copayment specified for generic drugs; and</w:t>
      </w:r>
    </w:p>
    <w:p w14:paraId="5D9EAB05" w14:textId="77777777" w:rsidR="009B7BE0" w:rsidRPr="005218A0" w:rsidRDefault="009B7BE0" w:rsidP="00271005">
      <w:pPr>
        <w:ind w:left="2880" w:hanging="720"/>
        <w:rPr>
          <w:rFonts w:ascii="Times New Roman" w:hAnsi="Times New Roman"/>
          <w:sz w:val="22"/>
          <w:szCs w:val="22"/>
        </w:rPr>
      </w:pPr>
    </w:p>
    <w:p w14:paraId="36E09430" w14:textId="2C270206" w:rsidR="009B7BE0" w:rsidRPr="005218A0" w:rsidRDefault="009B7BE0"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6</w:t>
      </w:r>
      <w:r w:rsidRPr="005218A0">
        <w:rPr>
          <w:rFonts w:ascii="Times New Roman" w:hAnsi="Times New Roman"/>
          <w:sz w:val="22"/>
          <w:szCs w:val="22"/>
        </w:rPr>
        <w:t>)</w:t>
      </w:r>
      <w:r w:rsidRPr="005218A0">
        <w:rPr>
          <w:rFonts w:ascii="Times New Roman" w:hAnsi="Times New Roman"/>
          <w:sz w:val="22"/>
          <w:szCs w:val="22"/>
        </w:rPr>
        <w:tab/>
        <w:t>Whether the plan incorporates a site-of-service incentive program. A site-of-service incentive benefit may</w:t>
      </w:r>
      <w:r w:rsidR="000C71F8" w:rsidRPr="005218A0">
        <w:rPr>
          <w:rFonts w:ascii="Times New Roman" w:hAnsi="Times New Roman"/>
          <w:sz w:val="22"/>
          <w:szCs w:val="22"/>
        </w:rPr>
        <w:t>,</w:t>
      </w:r>
      <w:r w:rsidR="001621AE" w:rsidRPr="005218A0">
        <w:rPr>
          <w:rFonts w:ascii="Times New Roman" w:hAnsi="Times New Roman"/>
          <w:sz w:val="22"/>
          <w:szCs w:val="22"/>
        </w:rPr>
        <w:t xml:space="preserve"> </w:t>
      </w:r>
      <w:r w:rsidR="000C71F8" w:rsidRPr="005218A0">
        <w:rPr>
          <w:rFonts w:ascii="Times New Roman" w:hAnsi="Times New Roman"/>
          <w:sz w:val="22"/>
          <w:szCs w:val="22"/>
        </w:rPr>
        <w:t>for</w:t>
      </w:r>
      <w:r w:rsidR="001621AE" w:rsidRPr="005218A0">
        <w:rPr>
          <w:rFonts w:ascii="Times New Roman" w:hAnsi="Times New Roman"/>
          <w:sz w:val="22"/>
          <w:szCs w:val="22"/>
        </w:rPr>
        <w:t xml:space="preserve"> example</w:t>
      </w:r>
      <w:r w:rsidR="000C71F8" w:rsidRPr="005218A0">
        <w:rPr>
          <w:rFonts w:ascii="Times New Roman" w:hAnsi="Times New Roman"/>
          <w:sz w:val="22"/>
          <w:szCs w:val="22"/>
        </w:rPr>
        <w:t>,</w:t>
      </w:r>
      <w:r w:rsidRPr="005218A0">
        <w:rPr>
          <w:rFonts w:ascii="Times New Roman" w:hAnsi="Times New Roman"/>
          <w:sz w:val="22"/>
          <w:szCs w:val="22"/>
        </w:rPr>
        <w:t xml:space="preserve"> apply a copayment in place of a deductible or coinsurance that would otherwise apply.</w:t>
      </w:r>
    </w:p>
    <w:p w14:paraId="431FDE8A" w14:textId="77777777" w:rsidR="006365C2" w:rsidRPr="005218A0" w:rsidRDefault="006365C2" w:rsidP="004467B2">
      <w:pPr>
        <w:ind w:left="720" w:hanging="720"/>
        <w:rPr>
          <w:rFonts w:ascii="Times New Roman" w:hAnsi="Times New Roman"/>
          <w:sz w:val="22"/>
          <w:szCs w:val="22"/>
        </w:rPr>
      </w:pPr>
    </w:p>
    <w:p w14:paraId="20091FA1" w14:textId="3D52229C" w:rsidR="005F3E6E" w:rsidRPr="005218A0" w:rsidRDefault="00EF1CAF" w:rsidP="00271005">
      <w:pPr>
        <w:ind w:left="1440" w:hanging="720"/>
        <w:rPr>
          <w:rFonts w:ascii="Times New Roman" w:hAnsi="Times New Roman"/>
          <w:sz w:val="22"/>
          <w:szCs w:val="22"/>
        </w:rPr>
      </w:pPr>
      <w:r w:rsidRPr="005218A0">
        <w:rPr>
          <w:rFonts w:ascii="Times New Roman" w:hAnsi="Times New Roman"/>
          <w:sz w:val="22"/>
          <w:szCs w:val="22"/>
        </w:rPr>
        <w:t>3.</w:t>
      </w:r>
      <w:r w:rsidR="006365C2" w:rsidRPr="005218A0">
        <w:rPr>
          <w:rFonts w:ascii="Times New Roman" w:hAnsi="Times New Roman"/>
          <w:sz w:val="22"/>
          <w:szCs w:val="22"/>
        </w:rPr>
        <w:tab/>
        <w:t xml:space="preserve">Carriers shall discontinue all </w:t>
      </w:r>
      <w:r w:rsidR="00585021" w:rsidRPr="005218A0">
        <w:rPr>
          <w:rFonts w:ascii="Times New Roman" w:hAnsi="Times New Roman"/>
          <w:sz w:val="22"/>
          <w:szCs w:val="22"/>
        </w:rPr>
        <w:t>non</w:t>
      </w:r>
      <w:r w:rsidR="00536E57" w:rsidRPr="005218A0">
        <w:rPr>
          <w:rFonts w:ascii="Times New Roman" w:hAnsi="Times New Roman"/>
          <w:sz w:val="22"/>
          <w:szCs w:val="22"/>
        </w:rPr>
        <w:t>-</w:t>
      </w:r>
      <w:r w:rsidR="00585021" w:rsidRPr="005218A0">
        <w:rPr>
          <w:rFonts w:ascii="Times New Roman" w:hAnsi="Times New Roman"/>
          <w:sz w:val="22"/>
          <w:szCs w:val="22"/>
        </w:rPr>
        <w:t xml:space="preserve">grandfathered </w:t>
      </w:r>
      <w:r w:rsidR="006365C2" w:rsidRPr="005218A0">
        <w:rPr>
          <w:rFonts w:ascii="Times New Roman" w:hAnsi="Times New Roman"/>
          <w:sz w:val="22"/>
          <w:szCs w:val="22"/>
        </w:rPr>
        <w:t>small group health plans offered in</w:t>
      </w:r>
      <w:r w:rsidR="004C08F5" w:rsidRPr="005218A0">
        <w:rPr>
          <w:rFonts w:ascii="Times New Roman" w:hAnsi="Times New Roman"/>
          <w:sz w:val="22"/>
          <w:szCs w:val="22"/>
        </w:rPr>
        <w:t xml:space="preserve"> </w:t>
      </w:r>
      <w:r w:rsidR="004A7ADA" w:rsidRPr="005218A0">
        <w:rPr>
          <w:rFonts w:ascii="Times New Roman" w:hAnsi="Times New Roman"/>
          <w:sz w:val="22"/>
          <w:szCs w:val="22"/>
        </w:rPr>
        <w:t>the year preceding the pooled market implementation year</w:t>
      </w:r>
      <w:r w:rsidR="00B87029" w:rsidRPr="005218A0">
        <w:rPr>
          <w:rFonts w:ascii="Times New Roman" w:hAnsi="Times New Roman"/>
          <w:sz w:val="22"/>
          <w:szCs w:val="22"/>
        </w:rPr>
        <w:t>.</w:t>
      </w:r>
      <w:r w:rsidR="00E23AFF">
        <w:rPr>
          <w:rFonts w:ascii="Times New Roman" w:hAnsi="Times New Roman"/>
          <w:sz w:val="22"/>
          <w:szCs w:val="22"/>
        </w:rPr>
        <w:t xml:space="preserve"> </w:t>
      </w:r>
      <w:r w:rsidR="00B87029" w:rsidRPr="005218A0">
        <w:rPr>
          <w:rFonts w:ascii="Times New Roman" w:hAnsi="Times New Roman"/>
          <w:sz w:val="22"/>
          <w:szCs w:val="22"/>
        </w:rPr>
        <w:t>No such plans may be issued or renewed during the pooled market implementation year</w:t>
      </w:r>
      <w:r w:rsidR="00585021" w:rsidRPr="005218A0">
        <w:rPr>
          <w:rFonts w:ascii="Times New Roman" w:hAnsi="Times New Roman"/>
          <w:sz w:val="22"/>
          <w:szCs w:val="22"/>
        </w:rPr>
        <w:t xml:space="preserve">, </w:t>
      </w:r>
      <w:r w:rsidR="006365C2" w:rsidRPr="005218A0">
        <w:rPr>
          <w:rFonts w:ascii="Times New Roman" w:hAnsi="Times New Roman"/>
          <w:sz w:val="22"/>
          <w:szCs w:val="22"/>
        </w:rPr>
        <w:t>with the exception of any existing plan that the carrier chooses to offer as an Alternative Plan pursuant to Section 6.</w:t>
      </w:r>
      <w:r w:rsidR="00E23AFF">
        <w:rPr>
          <w:rFonts w:ascii="Times New Roman" w:hAnsi="Times New Roman"/>
          <w:sz w:val="22"/>
          <w:szCs w:val="22"/>
        </w:rPr>
        <w:t xml:space="preserve"> </w:t>
      </w:r>
      <w:r w:rsidR="00B87029" w:rsidRPr="005218A0">
        <w:rPr>
          <w:rFonts w:ascii="Times New Roman" w:hAnsi="Times New Roman"/>
          <w:sz w:val="22"/>
          <w:szCs w:val="22"/>
        </w:rPr>
        <w:t>On renewal, the carrier shall map each policyholder with a discontinued plan</w:t>
      </w:r>
      <w:r w:rsidR="006365C2" w:rsidRPr="005218A0">
        <w:rPr>
          <w:rFonts w:ascii="Times New Roman" w:hAnsi="Times New Roman"/>
          <w:sz w:val="22"/>
          <w:szCs w:val="22"/>
        </w:rPr>
        <w:t xml:space="preserve"> to</w:t>
      </w:r>
      <w:r w:rsidR="003C0A39" w:rsidRPr="005218A0">
        <w:rPr>
          <w:rFonts w:ascii="Times New Roman" w:hAnsi="Times New Roman"/>
          <w:sz w:val="22"/>
          <w:szCs w:val="22"/>
        </w:rPr>
        <w:t xml:space="preserve"> </w:t>
      </w:r>
      <w:r w:rsidR="005F3E6E" w:rsidRPr="005218A0">
        <w:rPr>
          <w:rFonts w:ascii="Times New Roman" w:hAnsi="Times New Roman"/>
          <w:sz w:val="22"/>
          <w:szCs w:val="22"/>
        </w:rPr>
        <w:t>its most similar plan offered in the</w:t>
      </w:r>
      <w:r w:rsidR="004C08F5" w:rsidRPr="005218A0">
        <w:rPr>
          <w:rFonts w:ascii="Times New Roman" w:hAnsi="Times New Roman"/>
          <w:sz w:val="22"/>
          <w:szCs w:val="22"/>
        </w:rPr>
        <w:t xml:space="preserve"> </w:t>
      </w:r>
      <w:r w:rsidR="004A7ADA" w:rsidRPr="005218A0">
        <w:rPr>
          <w:rFonts w:ascii="Times New Roman" w:hAnsi="Times New Roman"/>
          <w:sz w:val="22"/>
          <w:szCs w:val="22"/>
        </w:rPr>
        <w:t xml:space="preserve">pooled </w:t>
      </w:r>
      <w:r w:rsidR="005F3E6E" w:rsidRPr="005218A0">
        <w:rPr>
          <w:rFonts w:ascii="Times New Roman" w:hAnsi="Times New Roman"/>
          <w:sz w:val="22"/>
          <w:szCs w:val="22"/>
        </w:rPr>
        <w:t>market in</w:t>
      </w:r>
      <w:r w:rsidR="004C08F5" w:rsidRPr="005218A0">
        <w:rPr>
          <w:rFonts w:ascii="Times New Roman" w:hAnsi="Times New Roman"/>
          <w:sz w:val="22"/>
          <w:szCs w:val="22"/>
        </w:rPr>
        <w:t xml:space="preserve"> </w:t>
      </w:r>
      <w:r w:rsidR="004A7ADA" w:rsidRPr="005218A0">
        <w:rPr>
          <w:rFonts w:ascii="Times New Roman" w:hAnsi="Times New Roman"/>
          <w:sz w:val="22"/>
          <w:szCs w:val="22"/>
        </w:rPr>
        <w:t>the pooled market implementation year</w:t>
      </w:r>
      <w:r w:rsidR="005F3E6E" w:rsidRPr="005218A0">
        <w:rPr>
          <w:rFonts w:ascii="Times New Roman" w:hAnsi="Times New Roman"/>
          <w:sz w:val="22"/>
          <w:szCs w:val="22"/>
        </w:rPr>
        <w:t>.</w:t>
      </w:r>
    </w:p>
    <w:p w14:paraId="75B22E42" w14:textId="77777777" w:rsidR="005F3E6E" w:rsidRPr="005218A0" w:rsidRDefault="005F3E6E" w:rsidP="004467B2">
      <w:pPr>
        <w:ind w:left="720" w:hanging="720"/>
        <w:rPr>
          <w:rFonts w:ascii="Times New Roman" w:hAnsi="Times New Roman"/>
          <w:sz w:val="22"/>
          <w:szCs w:val="22"/>
        </w:rPr>
      </w:pPr>
    </w:p>
    <w:p w14:paraId="1F5588EF" w14:textId="209FF015" w:rsidR="004467B2" w:rsidRPr="005218A0" w:rsidRDefault="005F3E6E" w:rsidP="0027100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 xml:space="preserve">Except as provided in </w:t>
      </w:r>
      <w:r w:rsidR="00461B4E" w:rsidRPr="005218A0">
        <w:rPr>
          <w:rFonts w:ascii="Times New Roman" w:hAnsi="Times New Roman"/>
          <w:sz w:val="22"/>
          <w:szCs w:val="22"/>
        </w:rPr>
        <w:t>P</w:t>
      </w:r>
      <w:r w:rsidRPr="005218A0">
        <w:rPr>
          <w:rFonts w:ascii="Times New Roman" w:hAnsi="Times New Roman"/>
          <w:sz w:val="22"/>
          <w:szCs w:val="22"/>
        </w:rPr>
        <w:t>aragraph B, the replacement shall</w:t>
      </w:r>
      <w:r w:rsidR="00347C23" w:rsidRPr="005218A0">
        <w:rPr>
          <w:rFonts w:ascii="Times New Roman" w:hAnsi="Times New Roman"/>
          <w:sz w:val="22"/>
          <w:szCs w:val="22"/>
        </w:rPr>
        <w:t xml:space="preserve"> </w:t>
      </w:r>
      <w:r w:rsidRPr="005218A0">
        <w:rPr>
          <w:rFonts w:ascii="Times New Roman" w:hAnsi="Times New Roman"/>
          <w:sz w:val="22"/>
          <w:szCs w:val="22"/>
        </w:rPr>
        <w:t>be</w:t>
      </w:r>
      <w:r w:rsidR="00347C23" w:rsidRPr="005218A0">
        <w:rPr>
          <w:rFonts w:ascii="Times New Roman" w:hAnsi="Times New Roman"/>
          <w:sz w:val="22"/>
          <w:szCs w:val="22"/>
        </w:rPr>
        <w:t xml:space="preserve"> </w:t>
      </w:r>
      <w:r w:rsidRPr="005218A0">
        <w:rPr>
          <w:rFonts w:ascii="Times New Roman" w:hAnsi="Times New Roman"/>
          <w:sz w:val="22"/>
          <w:szCs w:val="22"/>
        </w:rPr>
        <w:t>considered a</w:t>
      </w:r>
      <w:r w:rsidR="005D2577" w:rsidRPr="005218A0">
        <w:rPr>
          <w:rFonts w:ascii="Times New Roman" w:hAnsi="Times New Roman"/>
          <w:sz w:val="22"/>
          <w:szCs w:val="22"/>
        </w:rPr>
        <w:t> </w:t>
      </w:r>
      <w:r w:rsidRPr="005218A0">
        <w:rPr>
          <w:rFonts w:ascii="Times New Roman" w:hAnsi="Times New Roman"/>
          <w:sz w:val="22"/>
          <w:szCs w:val="22"/>
        </w:rPr>
        <w:t>benefit modification required by law in accordance with 24</w:t>
      </w:r>
      <w:r w:rsidRPr="005218A0">
        <w:rPr>
          <w:rFonts w:ascii="Times New Roman" w:hAnsi="Times New Roman"/>
          <w:sz w:val="22"/>
          <w:szCs w:val="22"/>
        </w:rPr>
        <w:noBreakHyphen/>
        <w:t>A M.R.S. §2850-B(3)(I)(3).</w:t>
      </w:r>
    </w:p>
    <w:p w14:paraId="44C24DAF" w14:textId="77777777" w:rsidR="005F3E6E" w:rsidRPr="005218A0" w:rsidRDefault="005F3E6E" w:rsidP="004C08F5">
      <w:pPr>
        <w:rPr>
          <w:rFonts w:ascii="Times New Roman" w:hAnsi="Times New Roman"/>
          <w:sz w:val="22"/>
          <w:szCs w:val="22"/>
        </w:rPr>
      </w:pPr>
    </w:p>
    <w:p w14:paraId="56517814" w14:textId="2057AE24" w:rsidR="005F3E6E" w:rsidRPr="005218A0" w:rsidRDefault="005F3E6E" w:rsidP="00271005">
      <w:pPr>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r>
      <w:r w:rsidR="003C0A39" w:rsidRPr="005218A0">
        <w:rPr>
          <w:rFonts w:ascii="Times New Roman" w:hAnsi="Times New Roman"/>
          <w:sz w:val="22"/>
          <w:szCs w:val="22"/>
        </w:rPr>
        <w:t>T</w:t>
      </w:r>
      <w:r w:rsidR="000C1FDD" w:rsidRPr="005218A0">
        <w:rPr>
          <w:rFonts w:ascii="Times New Roman" w:hAnsi="Times New Roman"/>
          <w:sz w:val="22"/>
          <w:szCs w:val="22"/>
        </w:rPr>
        <w:t>he carrier must demonstrate, in accordance with 24-A M.R.S. §2850</w:t>
      </w:r>
      <w:r w:rsidR="000C1FDD" w:rsidRPr="005218A0">
        <w:rPr>
          <w:rFonts w:ascii="Times New Roman" w:hAnsi="Times New Roman"/>
          <w:sz w:val="22"/>
          <w:szCs w:val="22"/>
        </w:rPr>
        <w:noBreakHyphen/>
        <w:t>B(3)(G)(2) or (I)</w:t>
      </w:r>
      <w:r w:rsidR="00585021" w:rsidRPr="005218A0">
        <w:rPr>
          <w:rFonts w:ascii="Times New Roman" w:hAnsi="Times New Roman"/>
          <w:sz w:val="22"/>
          <w:szCs w:val="22"/>
        </w:rPr>
        <w:t>(</w:t>
      </w:r>
      <w:r w:rsidR="000C1FDD" w:rsidRPr="005218A0">
        <w:rPr>
          <w:rFonts w:ascii="Times New Roman" w:hAnsi="Times New Roman"/>
          <w:sz w:val="22"/>
          <w:szCs w:val="22"/>
        </w:rPr>
        <w:t>4), that the discontinuance and replacement is a minor modification or is otherwise in the best interest of policyholders</w:t>
      </w:r>
      <w:r w:rsidR="003C0A39" w:rsidRPr="005218A0">
        <w:rPr>
          <w:rFonts w:ascii="Times New Roman" w:hAnsi="Times New Roman"/>
          <w:sz w:val="22"/>
          <w:szCs w:val="22"/>
        </w:rPr>
        <w:t xml:space="preserve"> if</w:t>
      </w:r>
      <w:r w:rsidR="00A84A74" w:rsidRPr="005218A0">
        <w:rPr>
          <w:rFonts w:ascii="Times New Roman" w:hAnsi="Times New Roman"/>
          <w:sz w:val="22"/>
          <w:szCs w:val="22"/>
        </w:rPr>
        <w:t>:</w:t>
      </w:r>
    </w:p>
    <w:p w14:paraId="0E007B13" w14:textId="437E2FFD" w:rsidR="003C0A39" w:rsidRPr="005218A0" w:rsidRDefault="003C0A39" w:rsidP="002C1C54">
      <w:pPr>
        <w:ind w:left="1440" w:hanging="720"/>
        <w:rPr>
          <w:rFonts w:ascii="Times New Roman" w:hAnsi="Times New Roman"/>
          <w:sz w:val="22"/>
          <w:szCs w:val="22"/>
        </w:rPr>
      </w:pPr>
    </w:p>
    <w:p w14:paraId="3C0C7E48" w14:textId="29B9C4BD" w:rsidR="00477557" w:rsidRPr="005218A0" w:rsidRDefault="003C0A39" w:rsidP="00271005">
      <w:pPr>
        <w:ind w:left="288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t>T</w:t>
      </w:r>
      <w:r w:rsidR="00477557" w:rsidRPr="005218A0">
        <w:rPr>
          <w:rFonts w:ascii="Times New Roman" w:hAnsi="Times New Roman"/>
          <w:sz w:val="22"/>
          <w:szCs w:val="22"/>
        </w:rPr>
        <w:t>he carrier chooses not to offer a Clear Choice design that is more similar to a discontinued plan than the carrier’s designated replacement;</w:t>
      </w:r>
    </w:p>
    <w:p w14:paraId="5C634827" w14:textId="77777777" w:rsidR="003C0A39" w:rsidRPr="005218A0" w:rsidRDefault="003C0A39" w:rsidP="00271005">
      <w:pPr>
        <w:ind w:left="2880" w:hanging="720"/>
        <w:rPr>
          <w:rFonts w:ascii="Times New Roman" w:hAnsi="Times New Roman"/>
          <w:sz w:val="22"/>
          <w:szCs w:val="22"/>
        </w:rPr>
      </w:pPr>
    </w:p>
    <w:p w14:paraId="5B03DD91" w14:textId="3EBED164" w:rsidR="003C0A39" w:rsidRPr="005218A0" w:rsidRDefault="003C0A39"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The carrier chooses to map a non-HMO policyholder into an HMO plan, or to map an HMO enrollee that has a point-of-service benefit into an HMO plan without a point-of-service benefit; or</w:t>
      </w:r>
    </w:p>
    <w:p w14:paraId="5850F803" w14:textId="35476BAC" w:rsidR="003C0A39" w:rsidRPr="005218A0" w:rsidRDefault="003C0A39" w:rsidP="00271005">
      <w:pPr>
        <w:ind w:left="2880" w:hanging="720"/>
        <w:rPr>
          <w:rFonts w:ascii="Times New Roman" w:hAnsi="Times New Roman"/>
          <w:sz w:val="22"/>
          <w:szCs w:val="22"/>
        </w:rPr>
      </w:pPr>
    </w:p>
    <w:p w14:paraId="0FFA847F" w14:textId="04C5A18E" w:rsidR="003C0A39" w:rsidRPr="005218A0" w:rsidRDefault="003C0A39" w:rsidP="00271005">
      <w:pPr>
        <w:ind w:left="28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The carrier chooses to map an HMO enrollee into non-HMO coverage.</w:t>
      </w:r>
    </w:p>
    <w:p w14:paraId="2CD3857A" w14:textId="2F8A36AD" w:rsidR="001B0620" w:rsidRPr="005218A0" w:rsidRDefault="001B0620" w:rsidP="00271005">
      <w:pPr>
        <w:ind w:left="2880" w:hanging="720"/>
        <w:rPr>
          <w:rFonts w:ascii="Times New Roman" w:hAnsi="Times New Roman"/>
          <w:sz w:val="22"/>
          <w:szCs w:val="22"/>
        </w:rPr>
      </w:pPr>
    </w:p>
    <w:p w14:paraId="64604956" w14:textId="043584A1" w:rsidR="008D2543" w:rsidRPr="005218A0" w:rsidRDefault="008D2543" w:rsidP="008D2543">
      <w:pPr>
        <w:ind w:left="2160" w:hanging="720"/>
        <w:rPr>
          <w:rFonts w:ascii="Times New Roman" w:hAnsi="Times New Roman"/>
          <w:sz w:val="22"/>
          <w:szCs w:val="22"/>
        </w:rPr>
      </w:pPr>
      <w:r w:rsidRPr="005218A0">
        <w:rPr>
          <w:rFonts w:ascii="Times New Roman" w:hAnsi="Times New Roman"/>
          <w:sz w:val="22"/>
          <w:szCs w:val="22"/>
        </w:rPr>
        <w:t>C.</w:t>
      </w:r>
      <w:r w:rsidRPr="005218A0">
        <w:rPr>
          <w:rFonts w:ascii="Times New Roman" w:hAnsi="Times New Roman"/>
          <w:sz w:val="22"/>
          <w:szCs w:val="22"/>
        </w:rPr>
        <w:tab/>
        <w:t>The requirement to discontinue small group plans and replace them with plans approved under this rule does not apply to plans issued to small employers through an association or trustee group that is excluded from the pooled market pursuant to 24</w:t>
      </w:r>
      <w:r w:rsidRPr="005218A0">
        <w:rPr>
          <w:rFonts w:ascii="Times New Roman" w:hAnsi="Times New Roman"/>
          <w:sz w:val="22"/>
          <w:szCs w:val="22"/>
        </w:rPr>
        <w:noBreakHyphen/>
        <w:t>A M.R.S. §2808-B(2)(E)(2) and applicable provisions of the ACA.</w:t>
      </w:r>
    </w:p>
    <w:p w14:paraId="563640B3" w14:textId="77777777" w:rsidR="008D2543" w:rsidRPr="005218A0" w:rsidRDefault="008D2543" w:rsidP="003C4167">
      <w:pPr>
        <w:ind w:left="2160" w:hanging="720"/>
        <w:rPr>
          <w:rFonts w:ascii="Times New Roman" w:hAnsi="Times New Roman"/>
          <w:sz w:val="22"/>
          <w:szCs w:val="22"/>
        </w:rPr>
      </w:pPr>
    </w:p>
    <w:p w14:paraId="5A4748D4" w14:textId="77777777" w:rsidR="000C6A75" w:rsidRPr="005218A0" w:rsidRDefault="001E6BAB" w:rsidP="00A00132">
      <w:pPr>
        <w:ind w:left="1440" w:right="-90" w:hanging="720"/>
        <w:rPr>
          <w:rFonts w:ascii="Times New Roman" w:hAnsi="Times New Roman"/>
          <w:sz w:val="22"/>
          <w:szCs w:val="22"/>
        </w:rPr>
      </w:pPr>
      <w:r w:rsidRPr="005218A0">
        <w:rPr>
          <w:rFonts w:ascii="Times New Roman" w:hAnsi="Times New Roman"/>
          <w:sz w:val="22"/>
          <w:szCs w:val="22"/>
        </w:rPr>
        <w:t>4.</w:t>
      </w:r>
      <w:r w:rsidRPr="005218A0">
        <w:rPr>
          <w:rFonts w:ascii="Times New Roman" w:hAnsi="Times New Roman"/>
          <w:sz w:val="22"/>
          <w:szCs w:val="22"/>
        </w:rPr>
        <w:tab/>
      </w:r>
      <w:r w:rsidR="008D2543" w:rsidRPr="005218A0">
        <w:rPr>
          <w:rFonts w:ascii="Times New Roman" w:hAnsi="Times New Roman"/>
          <w:sz w:val="22"/>
          <w:szCs w:val="22"/>
        </w:rPr>
        <w:t xml:space="preserve">The discontinuance or modification of </w:t>
      </w:r>
      <w:r w:rsidR="000C6A75" w:rsidRPr="005218A0">
        <w:rPr>
          <w:rFonts w:ascii="Times New Roman" w:hAnsi="Times New Roman"/>
          <w:sz w:val="22"/>
          <w:szCs w:val="22"/>
        </w:rPr>
        <w:t>a health plan is also considered a benefit modification required by law in accordance with 24 A M.R.S. §2850-B(3)(I)(3) if:</w:t>
      </w:r>
    </w:p>
    <w:p w14:paraId="558BDEFF" w14:textId="77777777" w:rsidR="000C6A75" w:rsidRPr="005218A0" w:rsidRDefault="000C6A75" w:rsidP="001B0620">
      <w:pPr>
        <w:ind w:left="1440" w:hanging="720"/>
        <w:rPr>
          <w:rFonts w:ascii="Times New Roman" w:hAnsi="Times New Roman"/>
          <w:sz w:val="22"/>
          <w:szCs w:val="22"/>
        </w:rPr>
      </w:pPr>
    </w:p>
    <w:p w14:paraId="1773B1DD" w14:textId="77777777" w:rsidR="000C6A75" w:rsidRPr="005218A0" w:rsidRDefault="000C6A75" w:rsidP="000C6A7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The Superintendent discontinues or materially modifies a Clear Choice design and the carrier maps enrollees to a new Clear Choice plan designated by the Superintendent as an appropriate replacement; or</w:t>
      </w:r>
    </w:p>
    <w:p w14:paraId="2ECA3D4D" w14:textId="77777777" w:rsidR="000C6A75" w:rsidRPr="005218A0" w:rsidRDefault="000C6A75" w:rsidP="000C6A75">
      <w:pPr>
        <w:ind w:left="2160" w:hanging="720"/>
        <w:rPr>
          <w:rFonts w:ascii="Times New Roman" w:hAnsi="Times New Roman"/>
          <w:sz w:val="22"/>
          <w:szCs w:val="22"/>
        </w:rPr>
      </w:pPr>
    </w:p>
    <w:p w14:paraId="16D36F9F" w14:textId="7490E3B8" w:rsidR="000C6A75" w:rsidRPr="005218A0" w:rsidRDefault="000C6A75" w:rsidP="003C4167">
      <w:pPr>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r>
      <w:r w:rsidR="00053AA8" w:rsidRPr="005218A0">
        <w:rPr>
          <w:rFonts w:ascii="Times New Roman" w:hAnsi="Times New Roman"/>
          <w:sz w:val="22"/>
          <w:szCs w:val="22"/>
        </w:rPr>
        <w:t xml:space="preserve">The carrier offers new Alternative Plans in the pooled market implementation year that are specifically designed to be marketed to small employers, must discontinue or materially modify one or more existing Alternative Plans in order to do so, and maps </w:t>
      </w:r>
      <w:r w:rsidR="007D15BE" w:rsidRPr="005218A0">
        <w:rPr>
          <w:rFonts w:ascii="Times New Roman" w:hAnsi="Times New Roman"/>
          <w:sz w:val="22"/>
          <w:szCs w:val="22"/>
        </w:rPr>
        <w:t xml:space="preserve">those </w:t>
      </w:r>
      <w:r w:rsidR="00053AA8" w:rsidRPr="005218A0">
        <w:rPr>
          <w:rFonts w:ascii="Times New Roman" w:hAnsi="Times New Roman"/>
          <w:sz w:val="22"/>
          <w:szCs w:val="22"/>
        </w:rPr>
        <w:t xml:space="preserve">policyholders </w:t>
      </w:r>
      <w:r w:rsidR="007D15BE" w:rsidRPr="005218A0">
        <w:rPr>
          <w:rFonts w:ascii="Times New Roman" w:hAnsi="Times New Roman"/>
          <w:sz w:val="22"/>
          <w:szCs w:val="22"/>
        </w:rPr>
        <w:t xml:space="preserve">to new plans </w:t>
      </w:r>
      <w:r w:rsidR="00053AA8" w:rsidRPr="005218A0">
        <w:rPr>
          <w:rFonts w:ascii="Times New Roman" w:hAnsi="Times New Roman"/>
          <w:sz w:val="22"/>
          <w:szCs w:val="22"/>
        </w:rPr>
        <w:t xml:space="preserve">in a manner </w:t>
      </w:r>
      <w:r w:rsidR="007D15BE" w:rsidRPr="005218A0">
        <w:rPr>
          <w:rFonts w:ascii="Times New Roman" w:hAnsi="Times New Roman"/>
          <w:sz w:val="22"/>
          <w:szCs w:val="22"/>
        </w:rPr>
        <w:t>that does not exceed the restrictions</w:t>
      </w:r>
      <w:r w:rsidR="00053AA8" w:rsidRPr="005218A0">
        <w:rPr>
          <w:rFonts w:ascii="Times New Roman" w:hAnsi="Times New Roman"/>
          <w:sz w:val="22"/>
          <w:szCs w:val="22"/>
        </w:rPr>
        <w:t xml:space="preserve"> set forth in Subsection </w:t>
      </w:r>
      <w:r w:rsidR="007D15BE" w:rsidRPr="005218A0">
        <w:rPr>
          <w:rFonts w:ascii="Times New Roman" w:hAnsi="Times New Roman"/>
          <w:sz w:val="22"/>
          <w:szCs w:val="22"/>
        </w:rPr>
        <w:t>3, Paragraph B.</w:t>
      </w:r>
    </w:p>
    <w:p w14:paraId="430125C5" w14:textId="1E12DF78" w:rsidR="005E1EDA" w:rsidRPr="005218A0" w:rsidRDefault="005E1EDA" w:rsidP="004467B2">
      <w:pPr>
        <w:ind w:left="720" w:hanging="720"/>
        <w:rPr>
          <w:rFonts w:ascii="Times New Roman" w:hAnsi="Times New Roman"/>
          <w:sz w:val="22"/>
          <w:szCs w:val="22"/>
        </w:rPr>
      </w:pPr>
    </w:p>
    <w:p w14:paraId="479283E9" w14:textId="77777777" w:rsidR="00892C4E" w:rsidRPr="005218A0" w:rsidRDefault="00892C4E" w:rsidP="00E32518">
      <w:pPr>
        <w:rPr>
          <w:rFonts w:ascii="Times New Roman" w:hAnsi="Times New Roman"/>
          <w:sz w:val="22"/>
          <w:szCs w:val="22"/>
        </w:rPr>
      </w:pPr>
    </w:p>
    <w:p w14:paraId="41D2DA97" w14:textId="22A41020" w:rsidR="00D5748C" w:rsidRPr="005218A0" w:rsidRDefault="00E32518" w:rsidP="00D5748C">
      <w:pPr>
        <w:keepNext/>
        <w:rPr>
          <w:rFonts w:ascii="Times New Roman" w:hAnsi="Times New Roman"/>
          <w:b/>
          <w:sz w:val="22"/>
          <w:szCs w:val="22"/>
        </w:rPr>
      </w:pPr>
      <w:bookmarkStart w:id="5" w:name="_Hlk57194322"/>
      <w:r w:rsidRPr="005218A0">
        <w:rPr>
          <w:rFonts w:ascii="Times New Roman" w:hAnsi="Times New Roman"/>
          <w:b/>
          <w:sz w:val="22"/>
          <w:szCs w:val="22"/>
        </w:rPr>
        <w:t>Section 5.</w:t>
      </w:r>
      <w:r w:rsidRPr="005218A0">
        <w:rPr>
          <w:rFonts w:ascii="Times New Roman" w:hAnsi="Times New Roman"/>
          <w:b/>
          <w:sz w:val="22"/>
          <w:szCs w:val="22"/>
        </w:rPr>
        <w:tab/>
      </w:r>
      <w:r w:rsidR="00EA4015" w:rsidRPr="005218A0">
        <w:rPr>
          <w:rFonts w:ascii="Times New Roman" w:hAnsi="Times New Roman"/>
          <w:b/>
          <w:sz w:val="22"/>
          <w:szCs w:val="22"/>
        </w:rPr>
        <w:t>Clear Choice Plans</w:t>
      </w:r>
    </w:p>
    <w:bookmarkEnd w:id="5"/>
    <w:p w14:paraId="0B0B51CD" w14:textId="77777777" w:rsidR="00EA4015" w:rsidRPr="005218A0" w:rsidRDefault="00EA4015" w:rsidP="00D5748C">
      <w:pPr>
        <w:keepNext/>
        <w:rPr>
          <w:rFonts w:ascii="Times New Roman" w:hAnsi="Times New Roman"/>
          <w:sz w:val="22"/>
          <w:szCs w:val="22"/>
        </w:rPr>
      </w:pPr>
    </w:p>
    <w:p w14:paraId="5A3A6EA6" w14:textId="4981F699" w:rsidR="00AB03B1" w:rsidRPr="005218A0" w:rsidRDefault="00164D1E" w:rsidP="00271005">
      <w:pPr>
        <w:ind w:left="1440" w:hanging="720"/>
        <w:rPr>
          <w:rFonts w:ascii="Times New Roman" w:hAnsi="Times New Roman"/>
          <w:sz w:val="22"/>
          <w:szCs w:val="22"/>
        </w:rPr>
      </w:pPr>
      <w:bookmarkStart w:id="6" w:name="_Hlk56497973"/>
      <w:r w:rsidRPr="005218A0">
        <w:rPr>
          <w:rFonts w:ascii="Times New Roman" w:hAnsi="Times New Roman"/>
          <w:sz w:val="22"/>
          <w:szCs w:val="22"/>
        </w:rPr>
        <w:t>1.</w:t>
      </w:r>
      <w:r w:rsidRPr="005218A0">
        <w:rPr>
          <w:rFonts w:ascii="Times New Roman" w:hAnsi="Times New Roman"/>
          <w:sz w:val="22"/>
          <w:szCs w:val="22"/>
        </w:rPr>
        <w:tab/>
        <w:t>The Superintendent shall develop and publish a series of Clear Choice Designs, including at least one at each metal level.</w:t>
      </w:r>
      <w:r w:rsidR="0021480D" w:rsidRPr="005218A0">
        <w:rPr>
          <w:rFonts w:ascii="Times New Roman" w:hAnsi="Times New Roman"/>
          <w:sz w:val="22"/>
          <w:szCs w:val="22"/>
        </w:rPr>
        <w:t xml:space="preserve"> A health plan may only be approved as a Clear Choice Plan if the Superintendent determines that it conforms to one of the Clear Choice Designs.</w:t>
      </w:r>
    </w:p>
    <w:p w14:paraId="1D850F1D" w14:textId="77777777" w:rsidR="00AB03B1" w:rsidRPr="005218A0" w:rsidRDefault="00AB03B1" w:rsidP="00AB03B1">
      <w:pPr>
        <w:ind w:left="720" w:hanging="720"/>
        <w:rPr>
          <w:rFonts w:ascii="Times New Roman" w:hAnsi="Times New Roman"/>
          <w:sz w:val="22"/>
          <w:szCs w:val="22"/>
        </w:rPr>
      </w:pPr>
    </w:p>
    <w:p w14:paraId="3C7E9492" w14:textId="3EB10A4E" w:rsidR="00226700" w:rsidRPr="005218A0" w:rsidRDefault="00226700" w:rsidP="0027100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r>
      <w:r w:rsidR="000E6C72" w:rsidRPr="005218A0">
        <w:rPr>
          <w:rFonts w:ascii="Times New Roman" w:hAnsi="Times New Roman"/>
          <w:sz w:val="22"/>
          <w:szCs w:val="22"/>
        </w:rPr>
        <w:t>T</w:t>
      </w:r>
      <w:r w:rsidR="00F542C2" w:rsidRPr="005218A0">
        <w:rPr>
          <w:rFonts w:ascii="Times New Roman" w:hAnsi="Times New Roman"/>
          <w:sz w:val="22"/>
          <w:szCs w:val="22"/>
        </w:rPr>
        <w:t xml:space="preserve">he Superintendent shall </w:t>
      </w:r>
      <w:r w:rsidR="003363B4" w:rsidRPr="005218A0">
        <w:rPr>
          <w:rFonts w:ascii="Times New Roman" w:hAnsi="Times New Roman"/>
          <w:sz w:val="22"/>
          <w:szCs w:val="22"/>
        </w:rPr>
        <w:t xml:space="preserve">annually </w:t>
      </w:r>
      <w:r w:rsidR="00F542C2" w:rsidRPr="005218A0">
        <w:rPr>
          <w:rFonts w:ascii="Times New Roman" w:hAnsi="Times New Roman"/>
          <w:sz w:val="22"/>
          <w:szCs w:val="22"/>
        </w:rPr>
        <w:t xml:space="preserve">review market experience with the </w:t>
      </w:r>
      <w:r w:rsidR="007C4ECF" w:rsidRPr="005218A0">
        <w:rPr>
          <w:rFonts w:ascii="Times New Roman" w:hAnsi="Times New Roman"/>
          <w:sz w:val="22"/>
          <w:szCs w:val="22"/>
        </w:rPr>
        <w:t xml:space="preserve">Clear Choice </w:t>
      </w:r>
      <w:r w:rsidR="00F542C2" w:rsidRPr="005218A0">
        <w:rPr>
          <w:rFonts w:ascii="Times New Roman" w:hAnsi="Times New Roman"/>
          <w:sz w:val="22"/>
          <w:szCs w:val="22"/>
        </w:rPr>
        <w:t>designs, and shall solicit stakeholder input on changes that might be desirable</w:t>
      </w:r>
      <w:r w:rsidR="007C4ECF" w:rsidRPr="005218A0">
        <w:rPr>
          <w:rFonts w:ascii="Times New Roman" w:hAnsi="Times New Roman"/>
          <w:sz w:val="22"/>
          <w:szCs w:val="22"/>
        </w:rPr>
        <w:t>, including potential amendments to this rule</w:t>
      </w:r>
      <w:r w:rsidR="00F542C2" w:rsidRPr="005218A0">
        <w:rPr>
          <w:rFonts w:ascii="Times New Roman" w:hAnsi="Times New Roman"/>
          <w:sz w:val="22"/>
          <w:szCs w:val="22"/>
        </w:rPr>
        <w:t xml:space="preserve">. </w:t>
      </w:r>
      <w:r w:rsidR="00980398" w:rsidRPr="005218A0">
        <w:rPr>
          <w:rFonts w:ascii="Times New Roman" w:hAnsi="Times New Roman"/>
          <w:sz w:val="22"/>
          <w:szCs w:val="22"/>
        </w:rPr>
        <w:t xml:space="preserve">The Superintendent shall </w:t>
      </w:r>
      <w:r w:rsidR="007C4ECF" w:rsidRPr="005218A0">
        <w:rPr>
          <w:rFonts w:ascii="Times New Roman" w:hAnsi="Times New Roman"/>
          <w:sz w:val="22"/>
          <w:szCs w:val="22"/>
        </w:rPr>
        <w:t xml:space="preserve">consider </w:t>
      </w:r>
      <w:r w:rsidR="004C041B" w:rsidRPr="005218A0">
        <w:rPr>
          <w:rFonts w:ascii="Times New Roman" w:hAnsi="Times New Roman"/>
          <w:sz w:val="22"/>
          <w:szCs w:val="22"/>
        </w:rPr>
        <w:t>AV requirements, stakeholder input</w:t>
      </w:r>
      <w:r w:rsidR="00980398" w:rsidRPr="005218A0">
        <w:rPr>
          <w:rFonts w:ascii="Times New Roman" w:hAnsi="Times New Roman"/>
          <w:sz w:val="22"/>
          <w:szCs w:val="22"/>
        </w:rPr>
        <w:t>,</w:t>
      </w:r>
      <w:r w:rsidR="004C041B" w:rsidRPr="005218A0">
        <w:rPr>
          <w:rFonts w:ascii="Times New Roman" w:hAnsi="Times New Roman"/>
          <w:sz w:val="22"/>
          <w:szCs w:val="22"/>
        </w:rPr>
        <w:t xml:space="preserve"> value-based plan design</w:t>
      </w:r>
      <w:r w:rsidR="00A20F6F">
        <w:rPr>
          <w:rFonts w:ascii="Times New Roman" w:hAnsi="Times New Roman"/>
          <w:sz w:val="22"/>
          <w:szCs w:val="22"/>
        </w:rPr>
        <w:t>, and the need for meaningful differences between plans offered by the same carrier in a given service area</w:t>
      </w:r>
      <w:r w:rsidR="007C4ECF" w:rsidRPr="005218A0">
        <w:rPr>
          <w:rFonts w:ascii="Times New Roman" w:hAnsi="Times New Roman"/>
          <w:sz w:val="22"/>
          <w:szCs w:val="22"/>
        </w:rPr>
        <w:t>.</w:t>
      </w:r>
      <w:r w:rsidR="001B0620" w:rsidRPr="005218A0">
        <w:rPr>
          <w:rFonts w:ascii="Times New Roman" w:hAnsi="Times New Roman"/>
          <w:sz w:val="22"/>
          <w:szCs w:val="22"/>
        </w:rPr>
        <w:t xml:space="preserve"> For years in which the individual and small group health markets are pooled, the Superintendent shall ensure the availability of a range of designs intended to meet the needs of individuals and small employers.</w:t>
      </w:r>
      <w:r w:rsidR="007C4ECF" w:rsidRPr="005218A0">
        <w:rPr>
          <w:rFonts w:ascii="Times New Roman" w:hAnsi="Times New Roman"/>
          <w:sz w:val="22"/>
          <w:szCs w:val="22"/>
        </w:rPr>
        <w:t xml:space="preserve"> The Superintendent shall </w:t>
      </w:r>
      <w:r w:rsidR="00980398" w:rsidRPr="005218A0">
        <w:rPr>
          <w:rFonts w:ascii="Times New Roman" w:hAnsi="Times New Roman"/>
          <w:sz w:val="22"/>
          <w:szCs w:val="22"/>
        </w:rPr>
        <w:t xml:space="preserve">expose </w:t>
      </w:r>
      <w:r w:rsidR="007C4ECF" w:rsidRPr="005218A0">
        <w:rPr>
          <w:rFonts w:ascii="Times New Roman" w:hAnsi="Times New Roman"/>
          <w:sz w:val="22"/>
          <w:szCs w:val="22"/>
        </w:rPr>
        <w:t xml:space="preserve">any proposed revisions to the Clear Choice designs </w:t>
      </w:r>
      <w:r w:rsidR="00980398" w:rsidRPr="005218A0">
        <w:rPr>
          <w:rFonts w:ascii="Times New Roman" w:hAnsi="Times New Roman"/>
          <w:sz w:val="22"/>
          <w:szCs w:val="22"/>
        </w:rPr>
        <w:t>for public comment</w:t>
      </w:r>
      <w:r w:rsidR="00E5263A" w:rsidRPr="005218A0">
        <w:rPr>
          <w:rFonts w:ascii="Times New Roman" w:hAnsi="Times New Roman"/>
          <w:sz w:val="22"/>
          <w:szCs w:val="22"/>
        </w:rPr>
        <w:t>, and shall publish the final version in time for carriers to use it in their rate and form filings</w:t>
      </w:r>
      <w:r w:rsidR="004C041B" w:rsidRPr="005218A0">
        <w:rPr>
          <w:rFonts w:ascii="Times New Roman" w:hAnsi="Times New Roman"/>
          <w:sz w:val="22"/>
          <w:szCs w:val="22"/>
        </w:rPr>
        <w:t>.</w:t>
      </w:r>
    </w:p>
    <w:p w14:paraId="7D72EAE1" w14:textId="5BE94F72" w:rsidR="00226700" w:rsidRPr="005218A0" w:rsidRDefault="00226700" w:rsidP="00271005">
      <w:pPr>
        <w:ind w:left="2160" w:hanging="720"/>
        <w:rPr>
          <w:rFonts w:ascii="Times New Roman" w:hAnsi="Times New Roman"/>
          <w:sz w:val="22"/>
          <w:szCs w:val="22"/>
        </w:rPr>
      </w:pPr>
    </w:p>
    <w:p w14:paraId="40B9E2CF" w14:textId="631242D1" w:rsidR="00976DF3" w:rsidRPr="005218A0" w:rsidRDefault="00980398" w:rsidP="00271005">
      <w:pPr>
        <w:ind w:left="2160" w:hanging="720"/>
        <w:rPr>
          <w:rFonts w:ascii="Times New Roman" w:hAnsi="Times New Roman"/>
          <w:sz w:val="22"/>
          <w:szCs w:val="22"/>
        </w:rPr>
      </w:pPr>
      <w:r w:rsidRPr="005218A0">
        <w:rPr>
          <w:rFonts w:ascii="Times New Roman" w:hAnsi="Times New Roman"/>
          <w:sz w:val="22"/>
          <w:szCs w:val="22"/>
        </w:rPr>
        <w:lastRenderedPageBreak/>
        <w:t>B.</w:t>
      </w:r>
      <w:r w:rsidRPr="005218A0">
        <w:rPr>
          <w:rFonts w:ascii="Times New Roman" w:hAnsi="Times New Roman"/>
          <w:sz w:val="22"/>
          <w:szCs w:val="22"/>
        </w:rPr>
        <w:tab/>
        <w:t>If changes to the actuarial value calculator</w:t>
      </w:r>
      <w:r w:rsidR="00976DF3" w:rsidRPr="005218A0">
        <w:rPr>
          <w:rFonts w:ascii="Times New Roman" w:hAnsi="Times New Roman"/>
          <w:sz w:val="22"/>
          <w:szCs w:val="22"/>
        </w:rPr>
        <w:t xml:space="preserve">, maximum permissible out-of-pocket expenses, </w:t>
      </w:r>
      <w:r w:rsidRPr="005218A0">
        <w:rPr>
          <w:rFonts w:ascii="Times New Roman" w:hAnsi="Times New Roman"/>
          <w:sz w:val="22"/>
          <w:szCs w:val="22"/>
        </w:rPr>
        <w:t>or other federal or state requirements</w:t>
      </w:r>
      <w:r w:rsidR="00976DF3" w:rsidRPr="005218A0">
        <w:rPr>
          <w:rFonts w:ascii="Times New Roman" w:hAnsi="Times New Roman"/>
          <w:sz w:val="22"/>
          <w:szCs w:val="22"/>
        </w:rPr>
        <w:t xml:space="preserve"> require adjustments to one or more Clear Choice Designs after they have been finalized, and a waiver of the new requirements is not granted, the Superintendent shall make adjustments as necessary to remain in compliance.</w:t>
      </w:r>
    </w:p>
    <w:p w14:paraId="0EF96DB7" w14:textId="77777777" w:rsidR="00980398" w:rsidRPr="005218A0" w:rsidRDefault="00980398" w:rsidP="00271005">
      <w:pPr>
        <w:ind w:left="2160" w:hanging="720"/>
        <w:rPr>
          <w:rFonts w:ascii="Times New Roman" w:hAnsi="Times New Roman"/>
          <w:sz w:val="22"/>
          <w:szCs w:val="22"/>
        </w:rPr>
      </w:pPr>
    </w:p>
    <w:p w14:paraId="6E7FB624" w14:textId="7E14B6AE" w:rsidR="00AB03B1" w:rsidRPr="005218A0" w:rsidRDefault="00980398" w:rsidP="00271005">
      <w:pPr>
        <w:ind w:left="2160" w:hanging="720"/>
        <w:rPr>
          <w:rFonts w:ascii="Times New Roman" w:hAnsi="Times New Roman"/>
          <w:sz w:val="22"/>
          <w:szCs w:val="22"/>
        </w:rPr>
      </w:pPr>
      <w:r w:rsidRPr="005218A0">
        <w:rPr>
          <w:rFonts w:ascii="Times New Roman" w:hAnsi="Times New Roman"/>
          <w:sz w:val="22"/>
          <w:szCs w:val="22"/>
        </w:rPr>
        <w:t>C</w:t>
      </w:r>
      <w:r w:rsidR="00AB03B1" w:rsidRPr="005218A0">
        <w:rPr>
          <w:rFonts w:ascii="Times New Roman" w:hAnsi="Times New Roman"/>
          <w:sz w:val="22"/>
          <w:szCs w:val="22"/>
        </w:rPr>
        <w:t>.</w:t>
      </w:r>
      <w:r w:rsidR="00AB03B1" w:rsidRPr="005218A0">
        <w:rPr>
          <w:rFonts w:ascii="Times New Roman" w:hAnsi="Times New Roman"/>
          <w:sz w:val="22"/>
          <w:szCs w:val="22"/>
        </w:rPr>
        <w:tab/>
      </w:r>
      <w:r w:rsidR="00164D1E" w:rsidRPr="005218A0">
        <w:rPr>
          <w:rFonts w:ascii="Times New Roman" w:hAnsi="Times New Roman"/>
          <w:sz w:val="22"/>
          <w:szCs w:val="22"/>
        </w:rPr>
        <w:t>To facilitate comparison between plans, each Clear Choice Design shall be designated by its metal level, or the term “Catastrophic,” and a short descriptive term, except for levels with only one Clear Choice Design.</w:t>
      </w:r>
    </w:p>
    <w:p w14:paraId="7D57A1B7" w14:textId="77777777" w:rsidR="00AB03B1" w:rsidRPr="005218A0" w:rsidRDefault="00AB03B1" w:rsidP="00AB03B1">
      <w:pPr>
        <w:ind w:left="1440" w:hanging="720"/>
        <w:rPr>
          <w:rFonts w:ascii="Times New Roman" w:hAnsi="Times New Roman"/>
          <w:sz w:val="22"/>
          <w:szCs w:val="22"/>
        </w:rPr>
      </w:pPr>
    </w:p>
    <w:p w14:paraId="443D94A2" w14:textId="5A37CEE3" w:rsidR="00164D1E" w:rsidRPr="005218A0" w:rsidRDefault="00AB03B1" w:rsidP="00271005">
      <w:pPr>
        <w:ind w:left="288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t xml:space="preserve">The descriptive name of any </w:t>
      </w:r>
      <w:r w:rsidR="00164D1E" w:rsidRPr="005218A0">
        <w:rPr>
          <w:rFonts w:ascii="Times New Roman" w:hAnsi="Times New Roman"/>
          <w:sz w:val="22"/>
          <w:szCs w:val="22"/>
        </w:rPr>
        <w:t xml:space="preserve">HSA plan design shall include “HSA” </w:t>
      </w:r>
      <w:r w:rsidRPr="005218A0">
        <w:rPr>
          <w:rFonts w:ascii="Times New Roman" w:hAnsi="Times New Roman"/>
          <w:sz w:val="22"/>
          <w:szCs w:val="22"/>
        </w:rPr>
        <w:t>and the descriptive name of any Off-Marketplace plan design shall include “Off-Marketplace.”</w:t>
      </w:r>
    </w:p>
    <w:p w14:paraId="170E4E22" w14:textId="77777777" w:rsidR="0062594C" w:rsidRPr="005218A0" w:rsidRDefault="0062594C" w:rsidP="00271005">
      <w:pPr>
        <w:ind w:left="2880" w:hanging="720"/>
        <w:rPr>
          <w:rFonts w:ascii="Times New Roman" w:hAnsi="Times New Roman"/>
          <w:sz w:val="22"/>
          <w:szCs w:val="22"/>
        </w:rPr>
      </w:pPr>
    </w:p>
    <w:p w14:paraId="591ED11D" w14:textId="59AE8417" w:rsidR="00AB03B1" w:rsidRPr="005218A0" w:rsidRDefault="00AB03B1"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 xml:space="preserve">The Superintendent shall develop a comparative table of Clear Choice Plans approved to be offered in Maine, grouped by their respective Clear Choice Designs. The table of plans for the upcoming year shall be published on the Bureau of Insurance website </w:t>
      </w:r>
      <w:r w:rsidR="00B37D92" w:rsidRPr="005218A0">
        <w:rPr>
          <w:rFonts w:ascii="Times New Roman" w:hAnsi="Times New Roman"/>
          <w:sz w:val="22"/>
          <w:szCs w:val="22"/>
        </w:rPr>
        <w:t xml:space="preserve">after rates are approved </w:t>
      </w:r>
      <w:r w:rsidRPr="005218A0">
        <w:rPr>
          <w:rFonts w:ascii="Times New Roman" w:hAnsi="Times New Roman"/>
          <w:sz w:val="22"/>
          <w:szCs w:val="22"/>
        </w:rPr>
        <w:t>and shall be furnished to the Marketplace.</w:t>
      </w:r>
    </w:p>
    <w:p w14:paraId="08DD0476" w14:textId="2200CD6E" w:rsidR="00AB03B1" w:rsidRPr="005218A0" w:rsidRDefault="00AB03B1" w:rsidP="00271005">
      <w:pPr>
        <w:ind w:left="2880" w:hanging="720"/>
        <w:rPr>
          <w:rFonts w:ascii="Times New Roman" w:hAnsi="Times New Roman"/>
          <w:sz w:val="22"/>
          <w:szCs w:val="22"/>
        </w:rPr>
      </w:pPr>
    </w:p>
    <w:p w14:paraId="13D5AF09" w14:textId="4287A709" w:rsidR="00AB03B1" w:rsidRPr="005218A0" w:rsidRDefault="0021480D" w:rsidP="00271005">
      <w:pPr>
        <w:ind w:left="28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Carriers may use their own branding for Clear Choice Plans as long as they also identify the applicable Clear Choice Design.</w:t>
      </w:r>
    </w:p>
    <w:p w14:paraId="056E7FA2" w14:textId="2D722D8B" w:rsidR="00164D1E" w:rsidRPr="005218A0" w:rsidRDefault="00164D1E" w:rsidP="0021480D">
      <w:pPr>
        <w:ind w:left="1440" w:hanging="720"/>
        <w:rPr>
          <w:rFonts w:ascii="Times New Roman" w:hAnsi="Times New Roman"/>
          <w:sz w:val="22"/>
          <w:szCs w:val="22"/>
        </w:rPr>
      </w:pPr>
    </w:p>
    <w:p w14:paraId="0E3E91CB" w14:textId="3BC951AF" w:rsidR="00525245" w:rsidRPr="005218A0" w:rsidRDefault="004C041B" w:rsidP="00271005">
      <w:pPr>
        <w:ind w:left="1440" w:hanging="720"/>
        <w:rPr>
          <w:rFonts w:ascii="Times New Roman" w:hAnsi="Times New Roman"/>
          <w:sz w:val="22"/>
          <w:szCs w:val="22"/>
        </w:rPr>
      </w:pPr>
      <w:r w:rsidRPr="005218A0">
        <w:rPr>
          <w:rFonts w:ascii="Times New Roman" w:hAnsi="Times New Roman"/>
          <w:sz w:val="22"/>
          <w:szCs w:val="22"/>
        </w:rPr>
        <w:t>2</w:t>
      </w:r>
      <w:r w:rsidR="00525245" w:rsidRPr="005218A0">
        <w:rPr>
          <w:rFonts w:ascii="Times New Roman" w:hAnsi="Times New Roman"/>
          <w:sz w:val="22"/>
          <w:szCs w:val="22"/>
        </w:rPr>
        <w:t>.</w:t>
      </w:r>
      <w:r w:rsidR="00525245" w:rsidRPr="005218A0">
        <w:rPr>
          <w:rFonts w:ascii="Times New Roman" w:hAnsi="Times New Roman"/>
          <w:sz w:val="22"/>
          <w:szCs w:val="22"/>
        </w:rPr>
        <w:tab/>
        <w:t xml:space="preserve">Except as otherwise provided in this </w:t>
      </w:r>
      <w:r w:rsidRPr="005218A0">
        <w:rPr>
          <w:rFonts w:ascii="Times New Roman" w:hAnsi="Times New Roman"/>
          <w:sz w:val="22"/>
          <w:szCs w:val="22"/>
        </w:rPr>
        <w:t>subsection</w:t>
      </w:r>
      <w:r w:rsidR="00525245" w:rsidRPr="005218A0">
        <w:rPr>
          <w:rFonts w:ascii="Times New Roman" w:hAnsi="Times New Roman"/>
          <w:sz w:val="22"/>
          <w:szCs w:val="22"/>
        </w:rPr>
        <w:t>, any Clear Choice Design or approved Alternat</w:t>
      </w:r>
      <w:r w:rsidR="00237706" w:rsidRPr="005218A0">
        <w:rPr>
          <w:rFonts w:ascii="Times New Roman" w:hAnsi="Times New Roman"/>
          <w:sz w:val="22"/>
          <w:szCs w:val="22"/>
        </w:rPr>
        <w:t>iv</w:t>
      </w:r>
      <w:r w:rsidR="00525245" w:rsidRPr="005218A0">
        <w:rPr>
          <w:rFonts w:ascii="Times New Roman" w:hAnsi="Times New Roman"/>
          <w:sz w:val="22"/>
          <w:szCs w:val="22"/>
        </w:rPr>
        <w:t>e Plan Design may be incorporated into a Qualified Health Plan offered by a carrier on the Marketplace.</w:t>
      </w:r>
    </w:p>
    <w:p w14:paraId="065F5E42" w14:textId="13AFCC4B" w:rsidR="00525245" w:rsidRPr="005218A0" w:rsidRDefault="00525245" w:rsidP="006211AA">
      <w:pPr>
        <w:ind w:left="1440" w:hanging="720"/>
        <w:rPr>
          <w:rFonts w:ascii="Times New Roman" w:hAnsi="Times New Roman"/>
          <w:sz w:val="22"/>
          <w:szCs w:val="22"/>
        </w:rPr>
      </w:pPr>
    </w:p>
    <w:p w14:paraId="37CC408E" w14:textId="63F30E67" w:rsidR="00525245" w:rsidRPr="005218A0" w:rsidRDefault="004C041B" w:rsidP="007D02B5">
      <w:pPr>
        <w:ind w:left="2160" w:hanging="720"/>
        <w:rPr>
          <w:rFonts w:ascii="Times New Roman" w:hAnsi="Times New Roman"/>
          <w:sz w:val="22"/>
          <w:szCs w:val="22"/>
        </w:rPr>
      </w:pPr>
      <w:r w:rsidRPr="005218A0">
        <w:rPr>
          <w:rFonts w:ascii="Times New Roman" w:hAnsi="Times New Roman"/>
          <w:sz w:val="22"/>
          <w:szCs w:val="22"/>
        </w:rPr>
        <w:t>A.</w:t>
      </w:r>
      <w:r w:rsidR="00525245" w:rsidRPr="005218A0">
        <w:rPr>
          <w:rFonts w:ascii="Times New Roman" w:hAnsi="Times New Roman"/>
          <w:sz w:val="22"/>
          <w:szCs w:val="22"/>
        </w:rPr>
        <w:tab/>
      </w:r>
      <w:bookmarkStart w:id="7" w:name="_Hlk78463718"/>
      <w:r w:rsidR="00976DF3" w:rsidRPr="005218A0">
        <w:rPr>
          <w:rFonts w:ascii="Times New Roman" w:hAnsi="Times New Roman"/>
          <w:sz w:val="22"/>
          <w:szCs w:val="22"/>
        </w:rPr>
        <w:t>If a</w:t>
      </w:r>
      <w:r w:rsidR="00223EEA" w:rsidRPr="005218A0">
        <w:rPr>
          <w:rFonts w:ascii="Times New Roman" w:hAnsi="Times New Roman"/>
          <w:sz w:val="22"/>
          <w:szCs w:val="22"/>
        </w:rPr>
        <w:t xml:space="preserve"> carrier</w:t>
      </w:r>
      <w:r w:rsidR="00976DF3" w:rsidRPr="005218A0">
        <w:rPr>
          <w:rFonts w:ascii="Times New Roman" w:hAnsi="Times New Roman"/>
          <w:sz w:val="22"/>
          <w:szCs w:val="22"/>
        </w:rPr>
        <w:t xml:space="preserve"> participates in</w:t>
      </w:r>
      <w:r w:rsidR="00237706" w:rsidRPr="005218A0">
        <w:rPr>
          <w:rFonts w:ascii="Times New Roman" w:hAnsi="Times New Roman"/>
          <w:sz w:val="22"/>
          <w:szCs w:val="22"/>
        </w:rPr>
        <w:t xml:space="preserve"> the </w:t>
      </w:r>
      <w:r w:rsidR="00F542C2" w:rsidRPr="005218A0">
        <w:rPr>
          <w:rFonts w:ascii="Times New Roman" w:hAnsi="Times New Roman"/>
          <w:sz w:val="22"/>
          <w:szCs w:val="22"/>
        </w:rPr>
        <w:t xml:space="preserve">individual </w:t>
      </w:r>
      <w:r w:rsidR="00237706" w:rsidRPr="005218A0">
        <w:rPr>
          <w:rFonts w:ascii="Times New Roman" w:hAnsi="Times New Roman"/>
          <w:sz w:val="22"/>
          <w:szCs w:val="22"/>
        </w:rPr>
        <w:t>Marketplace</w:t>
      </w:r>
      <w:r w:rsidR="00976DF3" w:rsidRPr="005218A0">
        <w:rPr>
          <w:rFonts w:ascii="Times New Roman" w:hAnsi="Times New Roman"/>
          <w:sz w:val="22"/>
          <w:szCs w:val="22"/>
        </w:rPr>
        <w:t xml:space="preserve">, its lowest-price </w:t>
      </w:r>
      <w:r w:rsidR="00F63248" w:rsidRPr="005218A0">
        <w:rPr>
          <w:rFonts w:ascii="Times New Roman" w:hAnsi="Times New Roman"/>
          <w:sz w:val="22"/>
          <w:szCs w:val="22"/>
        </w:rPr>
        <w:t xml:space="preserve">Marketplace </w:t>
      </w:r>
      <w:r w:rsidR="00976DF3" w:rsidRPr="005218A0">
        <w:rPr>
          <w:rFonts w:ascii="Times New Roman" w:hAnsi="Times New Roman"/>
          <w:sz w:val="22"/>
          <w:szCs w:val="22"/>
        </w:rPr>
        <w:t xml:space="preserve">Silver plan </w:t>
      </w:r>
      <w:r w:rsidR="00237706" w:rsidRPr="005218A0">
        <w:rPr>
          <w:rFonts w:ascii="Times New Roman" w:hAnsi="Times New Roman"/>
          <w:sz w:val="22"/>
          <w:szCs w:val="22"/>
        </w:rPr>
        <w:t>in any service area must be a Clear Choice Plan.</w:t>
      </w:r>
    </w:p>
    <w:bookmarkEnd w:id="7"/>
    <w:p w14:paraId="3BB29D25" w14:textId="4E4358ED" w:rsidR="00237706" w:rsidRPr="005218A0" w:rsidRDefault="00237706" w:rsidP="007D02B5">
      <w:pPr>
        <w:ind w:left="2160" w:hanging="720"/>
        <w:rPr>
          <w:rFonts w:ascii="Times New Roman" w:hAnsi="Times New Roman"/>
          <w:sz w:val="22"/>
          <w:szCs w:val="22"/>
        </w:rPr>
      </w:pPr>
    </w:p>
    <w:p w14:paraId="08B756B1" w14:textId="2494FBA2" w:rsidR="00237706" w:rsidRPr="005218A0" w:rsidRDefault="002E0BF6" w:rsidP="007D02B5">
      <w:pPr>
        <w:ind w:left="2160" w:hanging="720"/>
        <w:rPr>
          <w:rFonts w:ascii="Times New Roman" w:hAnsi="Times New Roman"/>
          <w:sz w:val="22"/>
          <w:szCs w:val="22"/>
        </w:rPr>
      </w:pPr>
      <w:r w:rsidRPr="005218A0">
        <w:rPr>
          <w:rFonts w:ascii="Times New Roman" w:hAnsi="Times New Roman"/>
          <w:sz w:val="22"/>
          <w:szCs w:val="22"/>
        </w:rPr>
        <w:t>B</w:t>
      </w:r>
      <w:r w:rsidR="004C041B" w:rsidRPr="005218A0">
        <w:rPr>
          <w:rFonts w:ascii="Times New Roman" w:hAnsi="Times New Roman"/>
          <w:sz w:val="22"/>
          <w:szCs w:val="22"/>
        </w:rPr>
        <w:t>.</w:t>
      </w:r>
      <w:r w:rsidR="00237706" w:rsidRPr="005218A0">
        <w:rPr>
          <w:rFonts w:ascii="Times New Roman" w:hAnsi="Times New Roman"/>
          <w:sz w:val="22"/>
          <w:szCs w:val="22"/>
        </w:rPr>
        <w:tab/>
        <w:t xml:space="preserve">The Superintendent shall develop at least one Silver </w:t>
      </w:r>
      <w:bookmarkStart w:id="8" w:name="_Hlk70697491"/>
      <w:r w:rsidR="00237706" w:rsidRPr="005218A0">
        <w:rPr>
          <w:rFonts w:ascii="Times New Roman" w:hAnsi="Times New Roman"/>
          <w:sz w:val="22"/>
          <w:szCs w:val="22"/>
        </w:rPr>
        <w:t xml:space="preserve">Clear Choice Design </w:t>
      </w:r>
      <w:bookmarkEnd w:id="8"/>
      <w:r w:rsidR="00237706" w:rsidRPr="005218A0">
        <w:rPr>
          <w:rFonts w:ascii="Times New Roman" w:hAnsi="Times New Roman"/>
          <w:sz w:val="22"/>
          <w:szCs w:val="22"/>
        </w:rPr>
        <w:t xml:space="preserve">which shall be designated as </w:t>
      </w:r>
      <w:r w:rsidR="00244355" w:rsidRPr="005218A0">
        <w:rPr>
          <w:rFonts w:ascii="Times New Roman" w:hAnsi="Times New Roman"/>
          <w:sz w:val="22"/>
          <w:szCs w:val="22"/>
        </w:rPr>
        <w:t xml:space="preserve">an </w:t>
      </w:r>
      <w:r w:rsidR="00237706" w:rsidRPr="005218A0">
        <w:rPr>
          <w:rFonts w:ascii="Times New Roman" w:hAnsi="Times New Roman"/>
          <w:sz w:val="22"/>
          <w:szCs w:val="22"/>
        </w:rPr>
        <w:t xml:space="preserve">Off-Marketplace Plan and which may not be offered on the Marketplace by any carrier. </w:t>
      </w:r>
      <w:r w:rsidR="0086164B" w:rsidRPr="005218A0">
        <w:rPr>
          <w:rFonts w:ascii="Times New Roman" w:hAnsi="Times New Roman"/>
          <w:sz w:val="22"/>
          <w:szCs w:val="22"/>
        </w:rPr>
        <w:t>Off-Marketplace Clear Choice Designs shall be developed to provide</w:t>
      </w:r>
      <w:r w:rsidR="00DF0241" w:rsidRPr="005218A0">
        <w:rPr>
          <w:rFonts w:ascii="Times New Roman" w:hAnsi="Times New Roman"/>
          <w:sz w:val="22"/>
          <w:szCs w:val="22"/>
        </w:rPr>
        <w:t xml:space="preserve"> </w:t>
      </w:r>
      <w:r w:rsidR="0086164B" w:rsidRPr="005218A0">
        <w:rPr>
          <w:rFonts w:ascii="Times New Roman" w:hAnsi="Times New Roman"/>
          <w:sz w:val="22"/>
          <w:szCs w:val="22"/>
        </w:rPr>
        <w:t>affordable options for Silver-level coverage</w:t>
      </w:r>
      <w:r w:rsidR="00B86415" w:rsidRPr="005218A0">
        <w:rPr>
          <w:rFonts w:ascii="Times New Roman" w:hAnsi="Times New Roman"/>
          <w:sz w:val="22"/>
          <w:szCs w:val="22"/>
        </w:rPr>
        <w:t xml:space="preserve"> for non-subsidized individuals, and, if applicable, for small employers</w:t>
      </w:r>
      <w:r w:rsidR="0086164B" w:rsidRPr="005218A0">
        <w:rPr>
          <w:rFonts w:ascii="Times New Roman" w:hAnsi="Times New Roman"/>
          <w:sz w:val="22"/>
          <w:szCs w:val="22"/>
        </w:rPr>
        <w:t xml:space="preserve">. </w:t>
      </w:r>
      <w:r w:rsidR="00FB377E" w:rsidRPr="005218A0">
        <w:rPr>
          <w:rFonts w:ascii="Times New Roman" w:hAnsi="Times New Roman"/>
          <w:sz w:val="22"/>
          <w:szCs w:val="22"/>
        </w:rPr>
        <w:t xml:space="preserve">An </w:t>
      </w:r>
      <w:r w:rsidR="00C5772C" w:rsidRPr="005218A0">
        <w:rPr>
          <w:rFonts w:ascii="Times New Roman" w:hAnsi="Times New Roman"/>
          <w:sz w:val="22"/>
          <w:szCs w:val="22"/>
        </w:rPr>
        <w:t>Off-Marketplace Clear Choice Design, and any other Silver Clear Choice De</w:t>
      </w:r>
      <w:r w:rsidR="001850C1" w:rsidRPr="005218A0">
        <w:rPr>
          <w:rFonts w:ascii="Times New Roman" w:hAnsi="Times New Roman"/>
          <w:sz w:val="22"/>
          <w:szCs w:val="22"/>
        </w:rPr>
        <w:t>s</w:t>
      </w:r>
      <w:r w:rsidR="00C5772C" w:rsidRPr="005218A0">
        <w:rPr>
          <w:rFonts w:ascii="Times New Roman" w:hAnsi="Times New Roman"/>
          <w:sz w:val="22"/>
          <w:szCs w:val="22"/>
        </w:rPr>
        <w:t xml:space="preserve">ign that </w:t>
      </w:r>
      <w:r w:rsidR="001850C1" w:rsidRPr="005218A0">
        <w:rPr>
          <w:rFonts w:ascii="Times New Roman" w:hAnsi="Times New Roman"/>
          <w:sz w:val="22"/>
          <w:szCs w:val="22"/>
        </w:rPr>
        <w:t>a carrier chooses not to offer on the Marketplace,</w:t>
      </w:r>
      <w:r w:rsidR="00C5772C" w:rsidRPr="005218A0">
        <w:rPr>
          <w:rFonts w:ascii="Times New Roman" w:hAnsi="Times New Roman"/>
          <w:sz w:val="22"/>
          <w:szCs w:val="22"/>
        </w:rPr>
        <w:t xml:space="preserve"> </w:t>
      </w:r>
      <w:r w:rsidR="0086164B" w:rsidRPr="005218A0">
        <w:rPr>
          <w:rFonts w:ascii="Times New Roman" w:hAnsi="Times New Roman"/>
          <w:sz w:val="22"/>
          <w:szCs w:val="22"/>
        </w:rPr>
        <w:t>shall not be subject to “silver-loading” to reflect the anticipated cost of unreimbursed cost-sharing reductions.</w:t>
      </w:r>
    </w:p>
    <w:p w14:paraId="3661A448" w14:textId="5C8FA7BF" w:rsidR="00DC30FF" w:rsidRPr="005218A0" w:rsidRDefault="00DC30FF" w:rsidP="00EA4015">
      <w:pPr>
        <w:ind w:left="720" w:hanging="720"/>
        <w:rPr>
          <w:rFonts w:ascii="Times New Roman" w:hAnsi="Times New Roman"/>
          <w:sz w:val="22"/>
          <w:szCs w:val="22"/>
        </w:rPr>
      </w:pPr>
    </w:p>
    <w:p w14:paraId="553C0C29" w14:textId="28AE127C" w:rsidR="00DC30FF" w:rsidRPr="005218A0" w:rsidRDefault="00DC30FF" w:rsidP="007D02B5">
      <w:pPr>
        <w:ind w:left="144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r>
      <w:r w:rsidR="0074040B" w:rsidRPr="005218A0">
        <w:rPr>
          <w:rFonts w:ascii="Times New Roman" w:hAnsi="Times New Roman"/>
          <w:sz w:val="22"/>
          <w:szCs w:val="22"/>
        </w:rPr>
        <w:t xml:space="preserve">A carrier </w:t>
      </w:r>
      <w:r w:rsidRPr="005218A0">
        <w:rPr>
          <w:rFonts w:ascii="Times New Roman" w:hAnsi="Times New Roman"/>
          <w:sz w:val="22"/>
          <w:szCs w:val="22"/>
        </w:rPr>
        <w:t>submi</w:t>
      </w:r>
      <w:r w:rsidR="0074040B" w:rsidRPr="005218A0">
        <w:rPr>
          <w:rFonts w:ascii="Times New Roman" w:hAnsi="Times New Roman"/>
          <w:sz w:val="22"/>
          <w:szCs w:val="22"/>
        </w:rPr>
        <w:t>tt</w:t>
      </w:r>
      <w:r w:rsidRPr="005218A0">
        <w:rPr>
          <w:rFonts w:ascii="Times New Roman" w:hAnsi="Times New Roman"/>
          <w:sz w:val="22"/>
          <w:szCs w:val="22"/>
        </w:rPr>
        <w:t>in</w:t>
      </w:r>
      <w:r w:rsidR="0074040B" w:rsidRPr="005218A0">
        <w:rPr>
          <w:rFonts w:ascii="Times New Roman" w:hAnsi="Times New Roman"/>
          <w:sz w:val="22"/>
          <w:szCs w:val="22"/>
        </w:rPr>
        <w:t>g a plan for approval as a</w:t>
      </w:r>
      <w:r w:rsidRPr="005218A0">
        <w:rPr>
          <w:rFonts w:ascii="Times New Roman" w:hAnsi="Times New Roman"/>
          <w:sz w:val="22"/>
          <w:szCs w:val="22"/>
        </w:rPr>
        <w:t xml:space="preserve"> Clear Choice Plan</w:t>
      </w:r>
      <w:r w:rsidR="0074040B" w:rsidRPr="005218A0">
        <w:rPr>
          <w:rFonts w:ascii="Times New Roman" w:hAnsi="Times New Roman"/>
          <w:sz w:val="22"/>
          <w:szCs w:val="22"/>
        </w:rPr>
        <w:t xml:space="preserve"> shall identify the applicable Clear Choice Design and describe all cost-sharing features not fully specified in that Clear Choice design. The c</w:t>
      </w:r>
      <w:r w:rsidRPr="005218A0">
        <w:rPr>
          <w:rFonts w:ascii="Times New Roman" w:hAnsi="Times New Roman"/>
          <w:sz w:val="22"/>
          <w:szCs w:val="22"/>
        </w:rPr>
        <w:t>arrier</w:t>
      </w:r>
      <w:r w:rsidR="0074040B" w:rsidRPr="005218A0">
        <w:rPr>
          <w:rFonts w:ascii="Times New Roman" w:hAnsi="Times New Roman"/>
          <w:sz w:val="22"/>
          <w:szCs w:val="22"/>
        </w:rPr>
        <w:t xml:space="preserve"> </w:t>
      </w:r>
      <w:r w:rsidRPr="005218A0">
        <w:rPr>
          <w:rFonts w:ascii="Times New Roman" w:hAnsi="Times New Roman"/>
          <w:sz w:val="22"/>
          <w:szCs w:val="22"/>
        </w:rPr>
        <w:t>s</w:t>
      </w:r>
      <w:r w:rsidR="0074040B" w:rsidRPr="005218A0">
        <w:rPr>
          <w:rFonts w:ascii="Times New Roman" w:hAnsi="Times New Roman"/>
          <w:sz w:val="22"/>
          <w:szCs w:val="22"/>
        </w:rPr>
        <w:t>ha</w:t>
      </w:r>
      <w:r w:rsidRPr="005218A0">
        <w:rPr>
          <w:rFonts w:ascii="Times New Roman" w:hAnsi="Times New Roman"/>
          <w:sz w:val="22"/>
          <w:szCs w:val="22"/>
        </w:rPr>
        <w:t xml:space="preserve">ll provide </w:t>
      </w:r>
      <w:r w:rsidR="0074040B" w:rsidRPr="005218A0">
        <w:rPr>
          <w:rFonts w:ascii="Times New Roman" w:hAnsi="Times New Roman"/>
          <w:sz w:val="22"/>
          <w:szCs w:val="22"/>
        </w:rPr>
        <w:t>its</w:t>
      </w:r>
      <w:r w:rsidRPr="005218A0">
        <w:rPr>
          <w:rFonts w:ascii="Times New Roman" w:hAnsi="Times New Roman"/>
          <w:sz w:val="22"/>
          <w:szCs w:val="22"/>
        </w:rPr>
        <w:t xml:space="preserve"> AV snapshot calculations as part of the filing submission to demonstrate compliance with the ACA and any necessary adjustments for unique plan design.</w:t>
      </w:r>
    </w:p>
    <w:p w14:paraId="31E80676" w14:textId="67B060E5" w:rsidR="00DC30FF" w:rsidRPr="005218A0" w:rsidRDefault="00DC30FF" w:rsidP="007D02B5">
      <w:pPr>
        <w:ind w:left="1440" w:hanging="720"/>
        <w:rPr>
          <w:rFonts w:ascii="Times New Roman" w:hAnsi="Times New Roman"/>
          <w:sz w:val="22"/>
          <w:szCs w:val="22"/>
        </w:rPr>
      </w:pPr>
    </w:p>
    <w:bookmarkEnd w:id="6"/>
    <w:p w14:paraId="4C455DBA" w14:textId="02864E45" w:rsidR="008C7523" w:rsidRPr="005218A0" w:rsidRDefault="0074040B" w:rsidP="00F9453E">
      <w:pPr>
        <w:ind w:left="1440" w:hanging="720"/>
        <w:rPr>
          <w:rFonts w:ascii="Times New Roman" w:hAnsi="Times New Roman"/>
          <w:sz w:val="22"/>
          <w:szCs w:val="22"/>
        </w:rPr>
      </w:pPr>
      <w:r w:rsidRPr="005218A0">
        <w:rPr>
          <w:rFonts w:ascii="Times New Roman" w:hAnsi="Times New Roman"/>
          <w:sz w:val="22"/>
          <w:szCs w:val="22"/>
        </w:rPr>
        <w:t>4.</w:t>
      </w:r>
      <w:r w:rsidRPr="005218A0">
        <w:rPr>
          <w:rFonts w:ascii="Times New Roman" w:hAnsi="Times New Roman"/>
          <w:sz w:val="22"/>
          <w:szCs w:val="22"/>
        </w:rPr>
        <w:tab/>
      </w:r>
      <w:r w:rsidR="00875B38" w:rsidRPr="005218A0">
        <w:rPr>
          <w:rFonts w:ascii="Times New Roman" w:hAnsi="Times New Roman"/>
          <w:sz w:val="22"/>
          <w:szCs w:val="22"/>
        </w:rPr>
        <w:t xml:space="preserve">No new </w:t>
      </w:r>
      <w:r w:rsidR="00B86415" w:rsidRPr="005218A0">
        <w:rPr>
          <w:rFonts w:ascii="Times New Roman" w:hAnsi="Times New Roman"/>
          <w:sz w:val="22"/>
          <w:szCs w:val="22"/>
        </w:rPr>
        <w:t xml:space="preserve">individual or pooled market health </w:t>
      </w:r>
      <w:r w:rsidR="00875B38" w:rsidRPr="005218A0">
        <w:rPr>
          <w:rFonts w:ascii="Times New Roman" w:hAnsi="Times New Roman"/>
          <w:sz w:val="22"/>
          <w:szCs w:val="22"/>
        </w:rPr>
        <w:t xml:space="preserve">plans may be introduced </w:t>
      </w:r>
      <w:r w:rsidRPr="005218A0">
        <w:rPr>
          <w:rFonts w:ascii="Times New Roman" w:hAnsi="Times New Roman"/>
          <w:sz w:val="22"/>
          <w:szCs w:val="22"/>
        </w:rPr>
        <w:t>after the deadline announced by the Superintendent for rate and form filings</w:t>
      </w:r>
      <w:r w:rsidR="00B052C8" w:rsidRPr="005218A0">
        <w:rPr>
          <w:rFonts w:ascii="Times New Roman" w:hAnsi="Times New Roman"/>
          <w:sz w:val="22"/>
          <w:szCs w:val="22"/>
        </w:rPr>
        <w:t>.</w:t>
      </w:r>
    </w:p>
    <w:p w14:paraId="73E0CDCB" w14:textId="77777777" w:rsidR="0062594C" w:rsidRPr="005218A0" w:rsidRDefault="0062594C" w:rsidP="00F9453E">
      <w:pPr>
        <w:ind w:left="1440" w:hanging="720"/>
        <w:rPr>
          <w:rFonts w:ascii="Times New Roman" w:hAnsi="Times New Roman"/>
          <w:sz w:val="22"/>
          <w:szCs w:val="22"/>
        </w:rPr>
      </w:pPr>
    </w:p>
    <w:p w14:paraId="120F8246" w14:textId="1AD837C9" w:rsidR="0077364E" w:rsidRPr="005218A0" w:rsidRDefault="0077364E" w:rsidP="007D02B5">
      <w:pPr>
        <w:keepNext/>
        <w:ind w:left="1440" w:hanging="720"/>
        <w:rPr>
          <w:rFonts w:ascii="Times New Roman" w:hAnsi="Times New Roman"/>
          <w:sz w:val="22"/>
          <w:szCs w:val="22"/>
        </w:rPr>
      </w:pPr>
      <w:r w:rsidRPr="005218A0">
        <w:rPr>
          <w:rFonts w:ascii="Times New Roman" w:hAnsi="Times New Roman"/>
          <w:sz w:val="22"/>
          <w:szCs w:val="22"/>
        </w:rPr>
        <w:lastRenderedPageBreak/>
        <w:t>5.</w:t>
      </w:r>
      <w:r w:rsidRPr="005218A0">
        <w:rPr>
          <w:rFonts w:ascii="Times New Roman" w:hAnsi="Times New Roman"/>
          <w:sz w:val="22"/>
          <w:szCs w:val="22"/>
        </w:rPr>
        <w:tab/>
      </w:r>
      <w:r w:rsidR="001A25F0" w:rsidRPr="005218A0">
        <w:rPr>
          <w:rFonts w:ascii="Times New Roman" w:hAnsi="Times New Roman"/>
          <w:sz w:val="22"/>
          <w:szCs w:val="22"/>
        </w:rPr>
        <w:t>Clear Choice Plans shall be subject to the following terms and conditions:</w:t>
      </w:r>
    </w:p>
    <w:p w14:paraId="5BC03F3F" w14:textId="77777777" w:rsidR="0077364E" w:rsidRPr="005218A0" w:rsidRDefault="0077364E" w:rsidP="009B16D1">
      <w:pPr>
        <w:keepNext/>
        <w:ind w:left="720" w:hanging="720"/>
        <w:rPr>
          <w:rFonts w:ascii="Times New Roman" w:hAnsi="Times New Roman"/>
          <w:sz w:val="22"/>
          <w:szCs w:val="22"/>
        </w:rPr>
      </w:pPr>
    </w:p>
    <w:p w14:paraId="67518EC3" w14:textId="50D4BC0C" w:rsidR="00980928" w:rsidRPr="005218A0" w:rsidRDefault="0077364E" w:rsidP="007D02B5">
      <w:pPr>
        <w:ind w:left="2160" w:hanging="720"/>
        <w:rPr>
          <w:rFonts w:ascii="Times New Roman" w:hAnsi="Times New Roman"/>
          <w:sz w:val="22"/>
          <w:szCs w:val="22"/>
        </w:rPr>
      </w:pPr>
      <w:bookmarkStart w:id="9" w:name="_Hlk57194185"/>
      <w:r w:rsidRPr="005218A0">
        <w:rPr>
          <w:rFonts w:ascii="Times New Roman" w:hAnsi="Times New Roman"/>
          <w:sz w:val="22"/>
          <w:szCs w:val="22"/>
        </w:rPr>
        <w:t>A</w:t>
      </w:r>
      <w:r w:rsidR="00980928" w:rsidRPr="005218A0">
        <w:rPr>
          <w:rFonts w:ascii="Times New Roman" w:hAnsi="Times New Roman"/>
          <w:sz w:val="22"/>
          <w:szCs w:val="22"/>
        </w:rPr>
        <w:t>.</w:t>
      </w:r>
      <w:r w:rsidR="00980928" w:rsidRPr="005218A0">
        <w:rPr>
          <w:rFonts w:ascii="Times New Roman" w:hAnsi="Times New Roman"/>
          <w:sz w:val="22"/>
          <w:szCs w:val="22"/>
        </w:rPr>
        <w:tab/>
        <w:t xml:space="preserve">The specified primary care office visit copayment </w:t>
      </w:r>
      <w:r w:rsidR="001621AE" w:rsidRPr="005218A0">
        <w:rPr>
          <w:rFonts w:ascii="Times New Roman" w:hAnsi="Times New Roman"/>
          <w:sz w:val="22"/>
          <w:szCs w:val="22"/>
        </w:rPr>
        <w:t xml:space="preserve">may </w:t>
      </w:r>
      <w:r w:rsidR="001A25F0" w:rsidRPr="005218A0">
        <w:rPr>
          <w:rFonts w:ascii="Times New Roman" w:hAnsi="Times New Roman"/>
          <w:sz w:val="22"/>
          <w:szCs w:val="22"/>
        </w:rPr>
        <w:t>be</w:t>
      </w:r>
      <w:r w:rsidR="00980928" w:rsidRPr="005218A0">
        <w:rPr>
          <w:rFonts w:ascii="Times New Roman" w:hAnsi="Times New Roman"/>
          <w:sz w:val="22"/>
          <w:szCs w:val="22"/>
        </w:rPr>
        <w:t xml:space="preserve"> separate from any related laboratory charge from the visit.</w:t>
      </w:r>
    </w:p>
    <w:p w14:paraId="01EE2D56" w14:textId="77777777" w:rsidR="00D33031" w:rsidRPr="005218A0" w:rsidRDefault="00D33031" w:rsidP="007D02B5">
      <w:pPr>
        <w:ind w:left="2160" w:hanging="720"/>
        <w:rPr>
          <w:rFonts w:ascii="Times New Roman" w:hAnsi="Times New Roman"/>
          <w:sz w:val="22"/>
          <w:szCs w:val="22"/>
        </w:rPr>
      </w:pPr>
    </w:p>
    <w:p w14:paraId="1FF1093F" w14:textId="0F0E7999" w:rsidR="00441BE7" w:rsidRPr="005218A0" w:rsidRDefault="0077364E" w:rsidP="007D02B5">
      <w:pPr>
        <w:ind w:left="2160" w:hanging="720"/>
        <w:rPr>
          <w:rFonts w:ascii="Times New Roman" w:hAnsi="Times New Roman"/>
          <w:sz w:val="22"/>
          <w:szCs w:val="22"/>
        </w:rPr>
      </w:pPr>
      <w:r w:rsidRPr="005218A0">
        <w:rPr>
          <w:rFonts w:ascii="Times New Roman" w:hAnsi="Times New Roman"/>
          <w:sz w:val="22"/>
          <w:szCs w:val="22"/>
        </w:rPr>
        <w:t>B</w:t>
      </w:r>
      <w:r w:rsidR="00BF3073" w:rsidRPr="005218A0">
        <w:rPr>
          <w:rFonts w:ascii="Times New Roman" w:hAnsi="Times New Roman"/>
          <w:sz w:val="22"/>
          <w:szCs w:val="22"/>
        </w:rPr>
        <w:t>.</w:t>
      </w:r>
      <w:bookmarkEnd w:id="9"/>
      <w:r w:rsidR="00441BE7" w:rsidRPr="005218A0">
        <w:rPr>
          <w:rFonts w:ascii="Times New Roman" w:hAnsi="Times New Roman"/>
          <w:sz w:val="22"/>
          <w:szCs w:val="22"/>
        </w:rPr>
        <w:tab/>
      </w:r>
      <w:r w:rsidR="00F24D06" w:rsidRPr="005218A0">
        <w:rPr>
          <w:rFonts w:ascii="Times New Roman" w:hAnsi="Times New Roman"/>
          <w:sz w:val="22"/>
          <w:szCs w:val="22"/>
        </w:rPr>
        <w:t>The p</w:t>
      </w:r>
      <w:r w:rsidR="00441BE7" w:rsidRPr="005218A0">
        <w:rPr>
          <w:rFonts w:ascii="Times New Roman" w:hAnsi="Times New Roman"/>
          <w:sz w:val="22"/>
          <w:szCs w:val="22"/>
        </w:rPr>
        <w:t>lan</w:t>
      </w:r>
      <w:r w:rsidR="00F24D06" w:rsidRPr="005218A0">
        <w:rPr>
          <w:rFonts w:ascii="Times New Roman" w:hAnsi="Times New Roman"/>
          <w:sz w:val="22"/>
          <w:szCs w:val="22"/>
        </w:rPr>
        <w:t>’</w:t>
      </w:r>
      <w:r w:rsidR="00441BE7" w:rsidRPr="005218A0">
        <w:rPr>
          <w:rFonts w:ascii="Times New Roman" w:hAnsi="Times New Roman"/>
          <w:sz w:val="22"/>
          <w:szCs w:val="22"/>
        </w:rPr>
        <w:t>s deductible</w:t>
      </w:r>
      <w:r w:rsidR="00E55224" w:rsidRPr="005218A0">
        <w:rPr>
          <w:rFonts w:ascii="Times New Roman" w:hAnsi="Times New Roman"/>
          <w:sz w:val="22"/>
          <w:szCs w:val="22"/>
        </w:rPr>
        <w:t xml:space="preserve"> shall be</w:t>
      </w:r>
      <w:r w:rsidR="00441BE7" w:rsidRPr="005218A0">
        <w:rPr>
          <w:rFonts w:ascii="Times New Roman" w:hAnsi="Times New Roman"/>
          <w:sz w:val="22"/>
          <w:szCs w:val="22"/>
        </w:rPr>
        <w:t xml:space="preserve"> applicable to all benefits except as otherwise specified</w:t>
      </w:r>
      <w:r w:rsidR="00E55224" w:rsidRPr="005218A0">
        <w:rPr>
          <w:rFonts w:ascii="Times New Roman" w:hAnsi="Times New Roman"/>
          <w:sz w:val="22"/>
          <w:szCs w:val="22"/>
        </w:rPr>
        <w:t xml:space="preserve"> in this rule</w:t>
      </w:r>
      <w:r w:rsidR="00441BE7" w:rsidRPr="005218A0">
        <w:rPr>
          <w:rFonts w:ascii="Times New Roman" w:hAnsi="Times New Roman"/>
          <w:sz w:val="22"/>
          <w:szCs w:val="22"/>
        </w:rPr>
        <w:t>.</w:t>
      </w:r>
    </w:p>
    <w:p w14:paraId="7CFC7E0A" w14:textId="77777777" w:rsidR="00441BE7" w:rsidRPr="005218A0" w:rsidRDefault="00441BE7" w:rsidP="0077364E">
      <w:pPr>
        <w:ind w:left="1440" w:hanging="720"/>
        <w:rPr>
          <w:rFonts w:ascii="Times New Roman" w:hAnsi="Times New Roman"/>
          <w:sz w:val="22"/>
          <w:szCs w:val="22"/>
        </w:rPr>
      </w:pPr>
    </w:p>
    <w:p w14:paraId="7D7C42C2" w14:textId="520666D3" w:rsidR="00441BE7"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(1)</w:t>
      </w:r>
      <w:r w:rsidR="00441BE7" w:rsidRPr="005218A0">
        <w:rPr>
          <w:rFonts w:ascii="Times New Roman" w:hAnsi="Times New Roman"/>
          <w:sz w:val="22"/>
          <w:szCs w:val="22"/>
        </w:rPr>
        <w:tab/>
        <w:t xml:space="preserve">A plan </w:t>
      </w:r>
      <w:r w:rsidR="00E55224" w:rsidRPr="005218A0">
        <w:rPr>
          <w:rFonts w:ascii="Times New Roman" w:hAnsi="Times New Roman"/>
          <w:sz w:val="22"/>
          <w:szCs w:val="22"/>
        </w:rPr>
        <w:t xml:space="preserve">providing </w:t>
      </w:r>
      <w:r w:rsidR="00FB1246" w:rsidRPr="005218A0">
        <w:rPr>
          <w:rFonts w:ascii="Times New Roman" w:hAnsi="Times New Roman"/>
          <w:sz w:val="22"/>
          <w:szCs w:val="22"/>
        </w:rPr>
        <w:t xml:space="preserve">family or </w:t>
      </w:r>
      <w:r w:rsidR="00E55224" w:rsidRPr="005218A0">
        <w:rPr>
          <w:rFonts w:ascii="Times New Roman" w:hAnsi="Times New Roman"/>
          <w:sz w:val="22"/>
          <w:szCs w:val="22"/>
        </w:rPr>
        <w:t xml:space="preserve">dependent coverage </w:t>
      </w:r>
      <w:r w:rsidR="00441BE7" w:rsidRPr="005218A0">
        <w:rPr>
          <w:rFonts w:ascii="Times New Roman" w:hAnsi="Times New Roman"/>
          <w:sz w:val="22"/>
          <w:szCs w:val="22"/>
        </w:rPr>
        <w:t>must provide that if actual charges paid toward the deductible during the year for the entire family meet a family deductible equal to two times the individual deductible, the deductible will be considered satisfied for all family members. The out-of-pocket maximum will work in a similar manner.</w:t>
      </w:r>
    </w:p>
    <w:p w14:paraId="7553F686" w14:textId="26E7CEAF" w:rsidR="00E55224" w:rsidRPr="005218A0" w:rsidRDefault="00E55224" w:rsidP="007D02B5">
      <w:pPr>
        <w:ind w:left="2880" w:hanging="720"/>
        <w:rPr>
          <w:rFonts w:ascii="Times New Roman" w:hAnsi="Times New Roman"/>
          <w:sz w:val="22"/>
          <w:szCs w:val="22"/>
        </w:rPr>
      </w:pPr>
    </w:p>
    <w:p w14:paraId="659BAC0A" w14:textId="395BA7BE" w:rsidR="003637E7"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(2)</w:t>
      </w:r>
      <w:r w:rsidR="00E55224" w:rsidRPr="005218A0">
        <w:rPr>
          <w:rFonts w:ascii="Times New Roman" w:hAnsi="Times New Roman"/>
          <w:sz w:val="22"/>
          <w:szCs w:val="22"/>
        </w:rPr>
        <w:tab/>
      </w:r>
      <w:r w:rsidR="001E195F" w:rsidRPr="005218A0">
        <w:rPr>
          <w:rFonts w:ascii="Times New Roman" w:hAnsi="Times New Roman"/>
          <w:sz w:val="22"/>
          <w:szCs w:val="22"/>
        </w:rPr>
        <w:t>Primary</w:t>
      </w:r>
      <w:r w:rsidR="003637E7" w:rsidRPr="005218A0">
        <w:rPr>
          <w:rFonts w:ascii="Times New Roman" w:hAnsi="Times New Roman"/>
          <w:sz w:val="22"/>
          <w:szCs w:val="22"/>
        </w:rPr>
        <w:t xml:space="preserve"> care and behavioral health office visits shall be exempt from the deductible to the extent provided in 24-A M.R.S. §4320-A(3)</w:t>
      </w:r>
      <w:r w:rsidR="007C4AF2" w:rsidRPr="005218A0">
        <w:rPr>
          <w:rFonts w:ascii="Times New Roman" w:hAnsi="Times New Roman"/>
          <w:sz w:val="22"/>
          <w:szCs w:val="22"/>
        </w:rPr>
        <w:t>, unless an exception is required by Section 4(2)(B)</w:t>
      </w:r>
      <w:r w:rsidR="003637E7" w:rsidRPr="005218A0">
        <w:rPr>
          <w:rFonts w:ascii="Times New Roman" w:hAnsi="Times New Roman"/>
          <w:sz w:val="22"/>
          <w:szCs w:val="22"/>
        </w:rPr>
        <w:t>.</w:t>
      </w:r>
    </w:p>
    <w:p w14:paraId="2023FB03" w14:textId="77777777" w:rsidR="003637E7" w:rsidRPr="005218A0" w:rsidRDefault="003637E7" w:rsidP="007D02B5">
      <w:pPr>
        <w:ind w:left="2880" w:hanging="720"/>
        <w:rPr>
          <w:rFonts w:ascii="Times New Roman" w:hAnsi="Times New Roman"/>
          <w:sz w:val="22"/>
          <w:szCs w:val="22"/>
        </w:rPr>
      </w:pPr>
    </w:p>
    <w:p w14:paraId="439E3EEE" w14:textId="5AC6ADE6" w:rsidR="008A3AF4"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(3)</w:t>
      </w:r>
      <w:r w:rsidR="008A3AF4" w:rsidRPr="005218A0">
        <w:rPr>
          <w:rFonts w:ascii="Times New Roman" w:hAnsi="Times New Roman"/>
          <w:sz w:val="22"/>
          <w:szCs w:val="22"/>
        </w:rPr>
        <w:tab/>
        <w:t>For all services with a copay</w:t>
      </w:r>
      <w:r w:rsidR="003637E7" w:rsidRPr="005218A0">
        <w:rPr>
          <w:rFonts w:ascii="Times New Roman" w:hAnsi="Times New Roman"/>
          <w:sz w:val="22"/>
          <w:szCs w:val="22"/>
        </w:rPr>
        <w:t>ment</w:t>
      </w:r>
      <w:r w:rsidR="008A3AF4" w:rsidRPr="005218A0">
        <w:rPr>
          <w:rFonts w:ascii="Times New Roman" w:hAnsi="Times New Roman"/>
          <w:sz w:val="22"/>
          <w:szCs w:val="22"/>
        </w:rPr>
        <w:t xml:space="preserve"> that are not subject to the deductible, the copaym</w:t>
      </w:r>
      <w:r w:rsidR="003637E7" w:rsidRPr="005218A0">
        <w:rPr>
          <w:rFonts w:ascii="Times New Roman" w:hAnsi="Times New Roman"/>
          <w:sz w:val="22"/>
          <w:szCs w:val="22"/>
        </w:rPr>
        <w:t>e</w:t>
      </w:r>
      <w:r w:rsidR="008A3AF4" w:rsidRPr="005218A0">
        <w:rPr>
          <w:rFonts w:ascii="Times New Roman" w:hAnsi="Times New Roman"/>
          <w:sz w:val="22"/>
          <w:szCs w:val="22"/>
        </w:rPr>
        <w:t xml:space="preserve">nt </w:t>
      </w:r>
      <w:r w:rsidR="003637E7" w:rsidRPr="005218A0">
        <w:rPr>
          <w:rFonts w:ascii="Times New Roman" w:hAnsi="Times New Roman"/>
          <w:sz w:val="22"/>
          <w:szCs w:val="22"/>
        </w:rPr>
        <w:t>shall</w:t>
      </w:r>
      <w:r w:rsidR="008A3AF4" w:rsidRPr="005218A0">
        <w:rPr>
          <w:rFonts w:ascii="Times New Roman" w:hAnsi="Times New Roman"/>
          <w:sz w:val="22"/>
          <w:szCs w:val="22"/>
        </w:rPr>
        <w:t xml:space="preserve"> accumulate toward the </w:t>
      </w:r>
      <w:r w:rsidR="003637E7" w:rsidRPr="005218A0">
        <w:rPr>
          <w:rFonts w:ascii="Times New Roman" w:hAnsi="Times New Roman"/>
          <w:sz w:val="22"/>
          <w:szCs w:val="22"/>
        </w:rPr>
        <w:t xml:space="preserve">plan’s maximum out-of-pocket expense, but not toward the </w:t>
      </w:r>
      <w:r w:rsidR="008A3AF4" w:rsidRPr="005218A0">
        <w:rPr>
          <w:rFonts w:ascii="Times New Roman" w:hAnsi="Times New Roman"/>
          <w:sz w:val="22"/>
          <w:szCs w:val="22"/>
        </w:rPr>
        <w:t xml:space="preserve">deductible except as required by </w:t>
      </w:r>
      <w:r w:rsidR="00FD054D" w:rsidRPr="005218A0">
        <w:rPr>
          <w:rFonts w:ascii="Times New Roman" w:hAnsi="Times New Roman"/>
          <w:sz w:val="22"/>
          <w:szCs w:val="22"/>
        </w:rPr>
        <w:t>24-A M.R.S. §4320-A(3)</w:t>
      </w:r>
      <w:r w:rsidR="008A3AF4" w:rsidRPr="005218A0">
        <w:rPr>
          <w:rFonts w:ascii="Times New Roman" w:hAnsi="Times New Roman"/>
          <w:sz w:val="22"/>
          <w:szCs w:val="22"/>
        </w:rPr>
        <w:t xml:space="preserve"> for </w:t>
      </w:r>
      <w:r w:rsidR="00FD054D" w:rsidRPr="005218A0">
        <w:rPr>
          <w:rFonts w:ascii="Times New Roman" w:hAnsi="Times New Roman"/>
          <w:sz w:val="22"/>
          <w:szCs w:val="22"/>
        </w:rPr>
        <w:t xml:space="preserve">primary care </w:t>
      </w:r>
      <w:r w:rsidR="008A3AF4" w:rsidRPr="005218A0">
        <w:rPr>
          <w:rFonts w:ascii="Times New Roman" w:hAnsi="Times New Roman"/>
          <w:sz w:val="22"/>
          <w:szCs w:val="22"/>
        </w:rPr>
        <w:t>and behavioral health office visits.</w:t>
      </w:r>
    </w:p>
    <w:p w14:paraId="28E118EA" w14:textId="77777777" w:rsidR="008A3AF4" w:rsidRPr="005218A0" w:rsidRDefault="008A3AF4" w:rsidP="007D02B5">
      <w:pPr>
        <w:ind w:left="2880" w:hanging="720"/>
        <w:rPr>
          <w:rFonts w:ascii="Times New Roman" w:hAnsi="Times New Roman"/>
          <w:sz w:val="22"/>
          <w:szCs w:val="22"/>
        </w:rPr>
      </w:pPr>
    </w:p>
    <w:p w14:paraId="5E85846D" w14:textId="68AD3B76" w:rsidR="008A3AF4"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(4)</w:t>
      </w:r>
      <w:r w:rsidR="008A3AF4" w:rsidRPr="005218A0">
        <w:rPr>
          <w:rFonts w:ascii="Times New Roman" w:hAnsi="Times New Roman"/>
          <w:sz w:val="22"/>
          <w:szCs w:val="22"/>
        </w:rPr>
        <w:tab/>
        <w:t xml:space="preserve">For services that are subject to </w:t>
      </w:r>
      <w:r w:rsidR="00DF0241" w:rsidRPr="005218A0">
        <w:rPr>
          <w:rFonts w:ascii="Times New Roman" w:hAnsi="Times New Roman"/>
          <w:sz w:val="22"/>
          <w:szCs w:val="22"/>
        </w:rPr>
        <w:t xml:space="preserve">both </w:t>
      </w:r>
      <w:r w:rsidR="003637E7" w:rsidRPr="005218A0">
        <w:rPr>
          <w:rFonts w:ascii="Times New Roman" w:hAnsi="Times New Roman"/>
          <w:sz w:val="22"/>
          <w:szCs w:val="22"/>
        </w:rPr>
        <w:t>a</w:t>
      </w:r>
      <w:r w:rsidR="008A3AF4" w:rsidRPr="005218A0">
        <w:rPr>
          <w:rFonts w:ascii="Times New Roman" w:hAnsi="Times New Roman"/>
          <w:sz w:val="22"/>
          <w:szCs w:val="22"/>
        </w:rPr>
        <w:t xml:space="preserve"> deductible</w:t>
      </w:r>
      <w:r w:rsidR="003637E7" w:rsidRPr="005218A0">
        <w:rPr>
          <w:rFonts w:ascii="Times New Roman" w:hAnsi="Times New Roman"/>
          <w:sz w:val="22"/>
          <w:szCs w:val="22"/>
        </w:rPr>
        <w:t xml:space="preserve"> and a copayment</w:t>
      </w:r>
      <w:r w:rsidR="008A3AF4" w:rsidRPr="005218A0">
        <w:rPr>
          <w:rFonts w:ascii="Times New Roman" w:hAnsi="Times New Roman"/>
          <w:sz w:val="22"/>
          <w:szCs w:val="22"/>
        </w:rPr>
        <w:t xml:space="preserve">, the full amount of out-of-pocket spending </w:t>
      </w:r>
      <w:r w:rsidR="003637E7" w:rsidRPr="005218A0">
        <w:rPr>
          <w:rFonts w:ascii="Times New Roman" w:hAnsi="Times New Roman"/>
          <w:sz w:val="22"/>
          <w:szCs w:val="22"/>
        </w:rPr>
        <w:t xml:space="preserve">shall </w:t>
      </w:r>
      <w:r w:rsidR="008A3AF4" w:rsidRPr="005218A0">
        <w:rPr>
          <w:rFonts w:ascii="Times New Roman" w:hAnsi="Times New Roman"/>
          <w:sz w:val="22"/>
          <w:szCs w:val="22"/>
        </w:rPr>
        <w:t>accrue toward the deductible</w:t>
      </w:r>
      <w:r w:rsidR="003637E7" w:rsidRPr="005218A0">
        <w:rPr>
          <w:rFonts w:ascii="Times New Roman" w:hAnsi="Times New Roman"/>
          <w:sz w:val="22"/>
          <w:szCs w:val="22"/>
        </w:rPr>
        <w:t xml:space="preserve"> until the deductible is satisfied</w:t>
      </w:r>
      <w:r w:rsidR="008A3AF4" w:rsidRPr="005218A0">
        <w:rPr>
          <w:rFonts w:ascii="Times New Roman" w:hAnsi="Times New Roman"/>
          <w:sz w:val="22"/>
          <w:szCs w:val="22"/>
        </w:rPr>
        <w:t>.</w:t>
      </w:r>
      <w:r w:rsidR="00AE7942" w:rsidRPr="005218A0">
        <w:rPr>
          <w:rFonts w:ascii="Times New Roman" w:hAnsi="Times New Roman"/>
          <w:sz w:val="22"/>
          <w:szCs w:val="22"/>
        </w:rPr>
        <w:t xml:space="preserve"> The copayment shall apply only to services provided after the deductible has been satisfied, or in cases where the amount remaining on the deductible is less than the copayment.</w:t>
      </w:r>
    </w:p>
    <w:p w14:paraId="56E22F46" w14:textId="77777777" w:rsidR="00534218" w:rsidRPr="005218A0" w:rsidRDefault="00534218" w:rsidP="001A25F0">
      <w:pPr>
        <w:ind w:left="1440" w:hanging="720"/>
        <w:rPr>
          <w:rFonts w:ascii="Times New Roman" w:hAnsi="Times New Roman"/>
          <w:sz w:val="22"/>
          <w:szCs w:val="22"/>
        </w:rPr>
      </w:pPr>
    </w:p>
    <w:p w14:paraId="6BD7E6A7" w14:textId="0C3EF09B" w:rsidR="006365C2" w:rsidRPr="005218A0" w:rsidRDefault="001A25F0" w:rsidP="007D02B5">
      <w:pPr>
        <w:ind w:left="2160" w:hanging="720"/>
        <w:rPr>
          <w:rFonts w:ascii="Times New Roman" w:hAnsi="Times New Roman"/>
          <w:sz w:val="22"/>
          <w:szCs w:val="22"/>
        </w:rPr>
      </w:pPr>
      <w:bookmarkStart w:id="10" w:name="_Hlk58241789"/>
      <w:r w:rsidRPr="005218A0">
        <w:rPr>
          <w:rFonts w:ascii="Times New Roman" w:hAnsi="Times New Roman"/>
          <w:bCs/>
          <w:sz w:val="22"/>
          <w:szCs w:val="22"/>
        </w:rPr>
        <w:t>C</w:t>
      </w:r>
      <w:r w:rsidR="000766C1" w:rsidRPr="005218A0">
        <w:rPr>
          <w:rFonts w:ascii="Times New Roman" w:hAnsi="Times New Roman"/>
          <w:bCs/>
          <w:sz w:val="22"/>
          <w:szCs w:val="22"/>
        </w:rPr>
        <w:t>.</w:t>
      </w:r>
      <w:r w:rsidR="000766C1" w:rsidRPr="005218A0">
        <w:rPr>
          <w:rFonts w:ascii="Times New Roman" w:hAnsi="Times New Roman"/>
          <w:b/>
          <w:sz w:val="22"/>
          <w:szCs w:val="22"/>
        </w:rPr>
        <w:tab/>
      </w:r>
      <w:r w:rsidR="000766C1" w:rsidRPr="005218A0">
        <w:rPr>
          <w:rFonts w:ascii="Times New Roman" w:hAnsi="Times New Roman"/>
          <w:sz w:val="22"/>
          <w:szCs w:val="22"/>
        </w:rPr>
        <w:t>Preventive</w:t>
      </w:r>
      <w:r w:rsidR="003C4167" w:rsidRPr="005218A0">
        <w:rPr>
          <w:rFonts w:ascii="Times New Roman" w:hAnsi="Times New Roman"/>
          <w:sz w:val="22"/>
          <w:szCs w:val="22"/>
        </w:rPr>
        <w:t xml:space="preserve"> c</w:t>
      </w:r>
      <w:bookmarkEnd w:id="10"/>
      <w:r w:rsidR="000766C1" w:rsidRPr="005218A0">
        <w:rPr>
          <w:rFonts w:ascii="Times New Roman" w:hAnsi="Times New Roman"/>
          <w:sz w:val="22"/>
          <w:szCs w:val="22"/>
        </w:rPr>
        <w:t xml:space="preserve">are services </w:t>
      </w:r>
      <w:r w:rsidRPr="005218A0">
        <w:rPr>
          <w:rFonts w:ascii="Times New Roman" w:hAnsi="Times New Roman"/>
          <w:sz w:val="22"/>
          <w:szCs w:val="22"/>
        </w:rPr>
        <w:t xml:space="preserve">shall be </w:t>
      </w:r>
      <w:r w:rsidR="000766C1" w:rsidRPr="005218A0">
        <w:rPr>
          <w:rFonts w:ascii="Times New Roman" w:hAnsi="Times New Roman"/>
          <w:sz w:val="22"/>
          <w:szCs w:val="22"/>
        </w:rPr>
        <w:t>covered without copay</w:t>
      </w:r>
      <w:r w:rsidR="00194583" w:rsidRPr="005218A0">
        <w:rPr>
          <w:rFonts w:ascii="Times New Roman" w:hAnsi="Times New Roman"/>
          <w:sz w:val="22"/>
          <w:szCs w:val="22"/>
        </w:rPr>
        <w:t>ment</w:t>
      </w:r>
      <w:r w:rsidR="000766C1" w:rsidRPr="005218A0">
        <w:rPr>
          <w:rFonts w:ascii="Times New Roman" w:hAnsi="Times New Roman"/>
          <w:sz w:val="22"/>
          <w:szCs w:val="22"/>
        </w:rPr>
        <w:t>, coinsurance</w:t>
      </w:r>
      <w:r w:rsidR="00194583" w:rsidRPr="005218A0">
        <w:rPr>
          <w:rFonts w:ascii="Times New Roman" w:hAnsi="Times New Roman"/>
          <w:sz w:val="22"/>
          <w:szCs w:val="22"/>
        </w:rPr>
        <w:t>,</w:t>
      </w:r>
      <w:r w:rsidR="000766C1" w:rsidRPr="005218A0">
        <w:rPr>
          <w:rFonts w:ascii="Times New Roman" w:hAnsi="Times New Roman"/>
          <w:sz w:val="22"/>
          <w:szCs w:val="22"/>
        </w:rPr>
        <w:t xml:space="preserve"> or deductible as required under the ACA.</w:t>
      </w:r>
      <w:r w:rsidR="009B16D1" w:rsidRPr="005218A0">
        <w:rPr>
          <w:rFonts w:ascii="Times New Roman" w:hAnsi="Times New Roman"/>
          <w:sz w:val="22"/>
          <w:szCs w:val="22"/>
        </w:rPr>
        <w:t xml:space="preserve"> </w:t>
      </w:r>
      <w:r w:rsidR="00F97C93" w:rsidRPr="005218A0">
        <w:rPr>
          <w:rFonts w:ascii="Times New Roman" w:hAnsi="Times New Roman"/>
          <w:sz w:val="22"/>
          <w:szCs w:val="22"/>
        </w:rPr>
        <w:t xml:space="preserve">In Clear Choice Designs for </w:t>
      </w:r>
      <w:r w:rsidR="003849CB" w:rsidRPr="005218A0">
        <w:rPr>
          <w:rFonts w:ascii="Times New Roman" w:hAnsi="Times New Roman"/>
          <w:sz w:val="22"/>
          <w:szCs w:val="22"/>
        </w:rPr>
        <w:t>HSA plans</w:t>
      </w:r>
      <w:bookmarkStart w:id="11" w:name="_Hlk71107212"/>
      <w:r w:rsidR="00F97C93" w:rsidRPr="005218A0">
        <w:rPr>
          <w:rFonts w:ascii="Times New Roman" w:hAnsi="Times New Roman"/>
          <w:sz w:val="22"/>
          <w:szCs w:val="22"/>
        </w:rPr>
        <w:t xml:space="preserve">, </w:t>
      </w:r>
      <w:r w:rsidR="00B052C8" w:rsidRPr="005218A0">
        <w:rPr>
          <w:rFonts w:ascii="Times New Roman" w:hAnsi="Times New Roman"/>
          <w:sz w:val="22"/>
          <w:szCs w:val="22"/>
        </w:rPr>
        <w:t xml:space="preserve">if a carrier elects to provide </w:t>
      </w:r>
      <w:r w:rsidR="007F6094" w:rsidRPr="005218A0">
        <w:rPr>
          <w:rFonts w:ascii="Times New Roman" w:hAnsi="Times New Roman"/>
          <w:sz w:val="22"/>
          <w:szCs w:val="22"/>
        </w:rPr>
        <w:t>pre-deductible</w:t>
      </w:r>
      <w:r w:rsidR="00F97C93" w:rsidRPr="005218A0">
        <w:rPr>
          <w:rFonts w:ascii="Times New Roman" w:hAnsi="Times New Roman"/>
          <w:sz w:val="22"/>
          <w:szCs w:val="22"/>
        </w:rPr>
        <w:t xml:space="preserve"> coverage for preventive services </w:t>
      </w:r>
      <w:r w:rsidR="00B052C8" w:rsidRPr="005218A0">
        <w:rPr>
          <w:rFonts w:ascii="Times New Roman" w:hAnsi="Times New Roman"/>
          <w:sz w:val="22"/>
          <w:szCs w:val="22"/>
        </w:rPr>
        <w:t xml:space="preserve">beyond </w:t>
      </w:r>
      <w:r w:rsidR="00746FCE" w:rsidRPr="005218A0">
        <w:rPr>
          <w:rFonts w:ascii="Times New Roman" w:hAnsi="Times New Roman"/>
          <w:sz w:val="22"/>
          <w:szCs w:val="22"/>
        </w:rPr>
        <w:t>the applicable</w:t>
      </w:r>
      <w:r w:rsidR="00B052C8" w:rsidRPr="005218A0">
        <w:rPr>
          <w:rFonts w:ascii="Times New Roman" w:hAnsi="Times New Roman"/>
          <w:sz w:val="22"/>
          <w:szCs w:val="22"/>
        </w:rPr>
        <w:t xml:space="preserve"> require</w:t>
      </w:r>
      <w:r w:rsidR="00746FCE" w:rsidRPr="005218A0">
        <w:rPr>
          <w:rFonts w:ascii="Times New Roman" w:hAnsi="Times New Roman"/>
          <w:sz w:val="22"/>
          <w:szCs w:val="22"/>
        </w:rPr>
        <w:t>ments</w:t>
      </w:r>
      <w:r w:rsidR="00B052C8" w:rsidRPr="005218A0">
        <w:rPr>
          <w:rFonts w:ascii="Times New Roman" w:hAnsi="Times New Roman"/>
          <w:sz w:val="22"/>
          <w:szCs w:val="22"/>
        </w:rPr>
        <w:t xml:space="preserve"> </w:t>
      </w:r>
      <w:r w:rsidR="00746FCE" w:rsidRPr="005218A0">
        <w:rPr>
          <w:rFonts w:ascii="Times New Roman" w:hAnsi="Times New Roman"/>
          <w:sz w:val="22"/>
          <w:szCs w:val="22"/>
        </w:rPr>
        <w:t>of</w:t>
      </w:r>
      <w:r w:rsidR="00B052C8" w:rsidRPr="005218A0">
        <w:rPr>
          <w:rFonts w:ascii="Times New Roman" w:hAnsi="Times New Roman"/>
          <w:sz w:val="22"/>
          <w:szCs w:val="22"/>
        </w:rPr>
        <w:t xml:space="preserve"> 24-A M</w:t>
      </w:r>
      <w:r w:rsidR="00461B4E" w:rsidRPr="005218A0">
        <w:rPr>
          <w:rFonts w:ascii="Times New Roman" w:hAnsi="Times New Roman"/>
          <w:sz w:val="22"/>
          <w:szCs w:val="22"/>
        </w:rPr>
        <w:t>.</w:t>
      </w:r>
      <w:r w:rsidR="00B052C8" w:rsidRPr="005218A0">
        <w:rPr>
          <w:rFonts w:ascii="Times New Roman" w:hAnsi="Times New Roman"/>
          <w:sz w:val="22"/>
          <w:szCs w:val="22"/>
        </w:rPr>
        <w:t>R</w:t>
      </w:r>
      <w:r w:rsidR="00461B4E" w:rsidRPr="005218A0">
        <w:rPr>
          <w:rFonts w:ascii="Times New Roman" w:hAnsi="Times New Roman"/>
          <w:sz w:val="22"/>
          <w:szCs w:val="22"/>
        </w:rPr>
        <w:t>.</w:t>
      </w:r>
      <w:r w:rsidR="00B052C8" w:rsidRPr="005218A0">
        <w:rPr>
          <w:rFonts w:ascii="Times New Roman" w:hAnsi="Times New Roman"/>
          <w:sz w:val="22"/>
          <w:szCs w:val="22"/>
        </w:rPr>
        <w:t>S</w:t>
      </w:r>
      <w:r w:rsidR="00461B4E" w:rsidRPr="005218A0">
        <w:rPr>
          <w:rFonts w:ascii="Times New Roman" w:hAnsi="Times New Roman"/>
          <w:sz w:val="22"/>
          <w:szCs w:val="22"/>
        </w:rPr>
        <w:t>.</w:t>
      </w:r>
      <w:r w:rsidR="00B052C8" w:rsidRPr="005218A0">
        <w:rPr>
          <w:rFonts w:ascii="Times New Roman" w:hAnsi="Times New Roman"/>
          <w:sz w:val="22"/>
          <w:szCs w:val="22"/>
        </w:rPr>
        <w:t xml:space="preserve"> </w:t>
      </w:r>
      <w:r w:rsidR="00461B4E" w:rsidRPr="005218A0">
        <w:rPr>
          <w:rFonts w:ascii="Times New Roman" w:hAnsi="Times New Roman"/>
          <w:sz w:val="22"/>
          <w:szCs w:val="22"/>
        </w:rPr>
        <w:t>§</w:t>
      </w:r>
      <w:r w:rsidR="00B052C8" w:rsidRPr="005218A0">
        <w:rPr>
          <w:rFonts w:ascii="Times New Roman" w:hAnsi="Times New Roman"/>
          <w:sz w:val="22"/>
          <w:szCs w:val="22"/>
        </w:rPr>
        <w:t>4320-A</w:t>
      </w:r>
      <w:r w:rsidR="002A6EDF" w:rsidRPr="005218A0">
        <w:rPr>
          <w:rFonts w:ascii="Times New Roman" w:hAnsi="Times New Roman"/>
          <w:sz w:val="22"/>
          <w:szCs w:val="22"/>
        </w:rPr>
        <w:t>,</w:t>
      </w:r>
      <w:r w:rsidR="00B052C8" w:rsidRPr="005218A0">
        <w:rPr>
          <w:rFonts w:ascii="Times New Roman" w:hAnsi="Times New Roman"/>
          <w:sz w:val="22"/>
          <w:szCs w:val="22"/>
        </w:rPr>
        <w:t xml:space="preserve"> </w:t>
      </w:r>
      <w:bookmarkEnd w:id="11"/>
      <w:r w:rsidR="00B052C8" w:rsidRPr="005218A0">
        <w:rPr>
          <w:rFonts w:ascii="Times New Roman" w:hAnsi="Times New Roman"/>
          <w:sz w:val="22"/>
          <w:szCs w:val="22"/>
        </w:rPr>
        <w:t xml:space="preserve">it shall </w:t>
      </w:r>
      <w:r w:rsidR="00F97C93" w:rsidRPr="005218A0">
        <w:rPr>
          <w:rFonts w:ascii="Times New Roman" w:hAnsi="Times New Roman"/>
          <w:sz w:val="22"/>
          <w:szCs w:val="22"/>
        </w:rPr>
        <w:t>include all covered services that the federal Internal Revenue Service</w:t>
      </w:r>
      <w:r w:rsidR="008306A8" w:rsidRPr="005218A0">
        <w:rPr>
          <w:rFonts w:ascii="Times New Roman" w:hAnsi="Times New Roman"/>
          <w:sz w:val="22"/>
          <w:szCs w:val="22"/>
        </w:rPr>
        <w:t xml:space="preserve"> has determined </w:t>
      </w:r>
      <w:r w:rsidR="00F97C93" w:rsidRPr="005218A0">
        <w:rPr>
          <w:rFonts w:ascii="Times New Roman" w:hAnsi="Times New Roman"/>
          <w:sz w:val="22"/>
          <w:szCs w:val="22"/>
        </w:rPr>
        <w:t xml:space="preserve">to qualify as preventive care </w:t>
      </w:r>
      <w:r w:rsidR="008306A8" w:rsidRPr="005218A0">
        <w:rPr>
          <w:rFonts w:ascii="Times New Roman" w:hAnsi="Times New Roman"/>
          <w:sz w:val="22"/>
          <w:szCs w:val="22"/>
        </w:rPr>
        <w:t xml:space="preserve">for </w:t>
      </w:r>
      <w:r w:rsidR="00F97C93" w:rsidRPr="005218A0">
        <w:rPr>
          <w:rFonts w:ascii="Times New Roman" w:hAnsi="Times New Roman"/>
          <w:sz w:val="22"/>
          <w:szCs w:val="22"/>
        </w:rPr>
        <w:t>tax purposes</w:t>
      </w:r>
      <w:r w:rsidR="008306A8" w:rsidRPr="005218A0">
        <w:rPr>
          <w:rFonts w:ascii="Times New Roman" w:hAnsi="Times New Roman"/>
          <w:sz w:val="22"/>
          <w:szCs w:val="22"/>
        </w:rPr>
        <w:t>, including prescription drugs for certain chronic conditions classified as preventive care for someone with that chronic condition.</w:t>
      </w:r>
    </w:p>
    <w:p w14:paraId="37A57EC2" w14:textId="1BD9671D" w:rsidR="00256772" w:rsidRPr="005218A0" w:rsidRDefault="00256772" w:rsidP="007D02B5">
      <w:pPr>
        <w:ind w:left="2160" w:hanging="720"/>
        <w:rPr>
          <w:rFonts w:ascii="Times New Roman" w:hAnsi="Times New Roman"/>
          <w:sz w:val="22"/>
          <w:szCs w:val="22"/>
        </w:rPr>
      </w:pPr>
    </w:p>
    <w:p w14:paraId="62FCAEF1" w14:textId="5972C039" w:rsidR="00256772" w:rsidRPr="005218A0" w:rsidRDefault="001A25F0" w:rsidP="007D02B5">
      <w:pPr>
        <w:ind w:left="2160" w:hanging="720"/>
        <w:rPr>
          <w:rFonts w:ascii="Times New Roman" w:hAnsi="Times New Roman"/>
          <w:sz w:val="22"/>
          <w:szCs w:val="22"/>
        </w:rPr>
      </w:pPr>
      <w:r w:rsidRPr="005218A0">
        <w:rPr>
          <w:rFonts w:ascii="Times New Roman" w:hAnsi="Times New Roman"/>
          <w:sz w:val="22"/>
          <w:szCs w:val="22"/>
        </w:rPr>
        <w:t>D</w:t>
      </w:r>
      <w:r w:rsidR="00256772" w:rsidRPr="005218A0">
        <w:rPr>
          <w:rFonts w:ascii="Times New Roman" w:hAnsi="Times New Roman"/>
          <w:sz w:val="22"/>
          <w:szCs w:val="22"/>
        </w:rPr>
        <w:t>.</w:t>
      </w:r>
      <w:r w:rsidR="00256772" w:rsidRPr="005218A0">
        <w:rPr>
          <w:rFonts w:ascii="Times New Roman" w:hAnsi="Times New Roman"/>
          <w:sz w:val="22"/>
          <w:szCs w:val="22"/>
        </w:rPr>
        <w:tab/>
        <w:t xml:space="preserve">Office visits for the treatment of mental health, behavioral health, or substance use disorder conditions shall </w:t>
      </w:r>
      <w:bookmarkStart w:id="12" w:name="_Hlk71107930"/>
      <w:r w:rsidR="00256772" w:rsidRPr="005218A0">
        <w:rPr>
          <w:rFonts w:ascii="Times New Roman" w:hAnsi="Times New Roman"/>
          <w:sz w:val="22"/>
          <w:szCs w:val="22"/>
        </w:rPr>
        <w:t>be categorized as Behavioral Health Outpatient Services, regardless of provider type</w:t>
      </w:r>
      <w:bookmarkEnd w:id="12"/>
      <w:r w:rsidR="00256772" w:rsidRPr="005218A0">
        <w:rPr>
          <w:rFonts w:ascii="Times New Roman" w:hAnsi="Times New Roman"/>
          <w:sz w:val="22"/>
          <w:szCs w:val="22"/>
        </w:rPr>
        <w:t>. Outpatient services may be subclassified into office visits and all other outpatient items and services.</w:t>
      </w:r>
    </w:p>
    <w:p w14:paraId="6B290E46" w14:textId="77777777" w:rsidR="0062594C" w:rsidRPr="005218A0" w:rsidRDefault="0062594C" w:rsidP="007D02B5">
      <w:pPr>
        <w:ind w:left="2160" w:hanging="720"/>
        <w:rPr>
          <w:rFonts w:ascii="Times New Roman" w:hAnsi="Times New Roman"/>
          <w:sz w:val="22"/>
          <w:szCs w:val="22"/>
        </w:rPr>
      </w:pPr>
    </w:p>
    <w:p w14:paraId="30C70CA4" w14:textId="4B99ED15" w:rsidR="00364FA3" w:rsidRPr="005218A0" w:rsidRDefault="00F97D83" w:rsidP="007D02B5">
      <w:pPr>
        <w:ind w:left="2160" w:hanging="720"/>
        <w:rPr>
          <w:rFonts w:ascii="Times New Roman" w:hAnsi="Times New Roman"/>
          <w:sz w:val="22"/>
          <w:szCs w:val="22"/>
        </w:rPr>
      </w:pPr>
      <w:r w:rsidRPr="005218A0">
        <w:rPr>
          <w:rFonts w:ascii="Times New Roman" w:hAnsi="Times New Roman"/>
          <w:sz w:val="22"/>
          <w:szCs w:val="22"/>
        </w:rPr>
        <w:t>E.</w:t>
      </w:r>
      <w:r w:rsidR="00763E9F" w:rsidRPr="005218A0">
        <w:rPr>
          <w:rFonts w:ascii="Times New Roman" w:hAnsi="Times New Roman"/>
          <w:sz w:val="22"/>
          <w:szCs w:val="22"/>
        </w:rPr>
        <w:tab/>
        <w:t xml:space="preserve">For prescription drugs in any tier, the cost-share defined is for a </w:t>
      </w:r>
      <w:r w:rsidR="009F59AB" w:rsidRPr="005218A0">
        <w:rPr>
          <w:rFonts w:ascii="Times New Roman" w:hAnsi="Times New Roman"/>
          <w:sz w:val="22"/>
          <w:szCs w:val="22"/>
        </w:rPr>
        <w:t xml:space="preserve">standard </w:t>
      </w:r>
      <w:r w:rsidR="00763E9F" w:rsidRPr="005218A0">
        <w:rPr>
          <w:rFonts w:ascii="Times New Roman" w:hAnsi="Times New Roman"/>
          <w:sz w:val="22"/>
          <w:szCs w:val="22"/>
        </w:rPr>
        <w:t>30-day supply.</w:t>
      </w:r>
      <w:r w:rsidR="009F59AB" w:rsidRPr="005218A0">
        <w:rPr>
          <w:rFonts w:ascii="Times New Roman" w:hAnsi="Times New Roman"/>
          <w:sz w:val="22"/>
          <w:szCs w:val="22"/>
        </w:rPr>
        <w:t xml:space="preserve"> Other options for mail order or network pharmacies are </w:t>
      </w:r>
      <w:r w:rsidR="009F59AB" w:rsidRPr="005218A0">
        <w:rPr>
          <w:rFonts w:ascii="Times New Roman" w:hAnsi="Times New Roman"/>
          <w:sz w:val="22"/>
          <w:szCs w:val="22"/>
        </w:rPr>
        <w:lastRenderedPageBreak/>
        <w:t>acceptable as long as the basic coverage in the Clear Choice plan is offered.</w:t>
      </w:r>
    </w:p>
    <w:p w14:paraId="2D49B77F" w14:textId="77777777" w:rsidR="006365C2" w:rsidRPr="005218A0" w:rsidRDefault="006365C2" w:rsidP="002C1C54">
      <w:pPr>
        <w:ind w:left="1440" w:hanging="720"/>
        <w:rPr>
          <w:rFonts w:ascii="Times New Roman" w:hAnsi="Times New Roman"/>
          <w:sz w:val="22"/>
          <w:szCs w:val="22"/>
        </w:rPr>
      </w:pPr>
    </w:p>
    <w:p w14:paraId="61DB33C4" w14:textId="5E3B1786" w:rsidR="00256772" w:rsidRPr="005218A0" w:rsidRDefault="00F97D83" w:rsidP="0096211C">
      <w:pPr>
        <w:ind w:left="2160" w:hanging="720"/>
        <w:rPr>
          <w:rFonts w:ascii="Times New Roman" w:hAnsi="Times New Roman"/>
          <w:sz w:val="22"/>
          <w:szCs w:val="22"/>
        </w:rPr>
      </w:pPr>
      <w:r w:rsidRPr="005218A0">
        <w:rPr>
          <w:rFonts w:ascii="Times New Roman" w:hAnsi="Times New Roman"/>
          <w:sz w:val="22"/>
          <w:szCs w:val="22"/>
        </w:rPr>
        <w:t>F</w:t>
      </w:r>
      <w:r w:rsidR="00256772" w:rsidRPr="005218A0">
        <w:rPr>
          <w:rFonts w:ascii="Times New Roman" w:hAnsi="Times New Roman"/>
          <w:sz w:val="22"/>
          <w:szCs w:val="22"/>
        </w:rPr>
        <w:t>.</w:t>
      </w:r>
      <w:r w:rsidR="00256772" w:rsidRPr="005218A0">
        <w:rPr>
          <w:rFonts w:ascii="Times New Roman" w:hAnsi="Times New Roman"/>
          <w:sz w:val="22"/>
          <w:szCs w:val="22"/>
        </w:rPr>
        <w:tab/>
        <w:t>Unless otherwise noted, carriers are permitted to assign a service not specified in the rule to the appropriate benefit category if permissible under state and federal law.</w:t>
      </w:r>
    </w:p>
    <w:p w14:paraId="6A1A8084" w14:textId="4256F6BA" w:rsidR="00D2033E" w:rsidRPr="005218A0" w:rsidRDefault="00D2033E" w:rsidP="00D2033E">
      <w:pPr>
        <w:ind w:left="720" w:hanging="720"/>
        <w:rPr>
          <w:rFonts w:ascii="Times New Roman" w:hAnsi="Times New Roman"/>
          <w:sz w:val="22"/>
          <w:szCs w:val="22"/>
        </w:rPr>
      </w:pPr>
    </w:p>
    <w:p w14:paraId="1D441491" w14:textId="57D5ADBB" w:rsidR="007C1D50" w:rsidRPr="005218A0" w:rsidRDefault="007C1D50" w:rsidP="00D2033E">
      <w:pPr>
        <w:ind w:left="720" w:hanging="720"/>
        <w:rPr>
          <w:rFonts w:ascii="Times New Roman" w:hAnsi="Times New Roman"/>
          <w:sz w:val="22"/>
          <w:szCs w:val="22"/>
        </w:rPr>
      </w:pPr>
    </w:p>
    <w:p w14:paraId="3B76BB78" w14:textId="1C02671E" w:rsidR="007C1D50" w:rsidRPr="005218A0" w:rsidRDefault="007C1D50" w:rsidP="00742790">
      <w:pPr>
        <w:keepNext/>
        <w:rPr>
          <w:rFonts w:ascii="Times New Roman" w:hAnsi="Times New Roman"/>
          <w:sz w:val="22"/>
          <w:szCs w:val="22"/>
        </w:rPr>
      </w:pPr>
      <w:r w:rsidRPr="005218A0">
        <w:rPr>
          <w:rFonts w:ascii="Times New Roman" w:hAnsi="Times New Roman"/>
          <w:b/>
          <w:sz w:val="22"/>
          <w:szCs w:val="22"/>
        </w:rPr>
        <w:t xml:space="preserve">Section </w:t>
      </w:r>
      <w:r w:rsidR="00742790" w:rsidRPr="005218A0">
        <w:rPr>
          <w:rFonts w:ascii="Times New Roman" w:hAnsi="Times New Roman"/>
          <w:b/>
          <w:sz w:val="22"/>
          <w:szCs w:val="22"/>
        </w:rPr>
        <w:t>6</w:t>
      </w:r>
      <w:r w:rsidRPr="005218A0">
        <w:rPr>
          <w:rFonts w:ascii="Times New Roman" w:hAnsi="Times New Roman"/>
          <w:b/>
          <w:sz w:val="22"/>
          <w:szCs w:val="22"/>
        </w:rPr>
        <w:t>.</w:t>
      </w:r>
      <w:r w:rsidRPr="005218A0">
        <w:rPr>
          <w:rFonts w:ascii="Times New Roman" w:hAnsi="Times New Roman"/>
          <w:b/>
          <w:sz w:val="22"/>
          <w:szCs w:val="22"/>
        </w:rPr>
        <w:tab/>
        <w:t>Alternative Plan Designs</w:t>
      </w:r>
    </w:p>
    <w:p w14:paraId="6816B266" w14:textId="29471943" w:rsidR="007C1D50" w:rsidRPr="005218A0" w:rsidRDefault="007C1D50" w:rsidP="009B16D1">
      <w:pPr>
        <w:keepNext/>
        <w:ind w:left="720" w:hanging="720"/>
        <w:rPr>
          <w:rFonts w:ascii="Times New Roman" w:hAnsi="Times New Roman"/>
          <w:sz w:val="22"/>
          <w:szCs w:val="22"/>
        </w:rPr>
      </w:pPr>
    </w:p>
    <w:p w14:paraId="0A6CECA9" w14:textId="291D0ECD" w:rsidR="007A2D81" w:rsidRPr="005218A0" w:rsidRDefault="007A2D81" w:rsidP="0096211C">
      <w:pPr>
        <w:ind w:left="144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t>A carrier may request approval</w:t>
      </w:r>
      <w:r w:rsidR="0022009B" w:rsidRPr="005218A0">
        <w:rPr>
          <w:rFonts w:ascii="Times New Roman" w:hAnsi="Times New Roman"/>
          <w:sz w:val="22"/>
          <w:szCs w:val="22"/>
        </w:rPr>
        <w:t xml:space="preserve">, </w:t>
      </w:r>
      <w:r w:rsidRPr="005218A0">
        <w:rPr>
          <w:rFonts w:ascii="Times New Roman" w:hAnsi="Times New Roman"/>
          <w:sz w:val="22"/>
          <w:szCs w:val="22"/>
        </w:rPr>
        <w:t>in accordance with this section</w:t>
      </w:r>
      <w:r w:rsidR="0022009B" w:rsidRPr="005218A0">
        <w:rPr>
          <w:rFonts w:ascii="Times New Roman" w:hAnsi="Times New Roman"/>
          <w:sz w:val="22"/>
          <w:szCs w:val="22"/>
        </w:rPr>
        <w:t>, to offer up to three Alternative Plan Designs in any plan year</w:t>
      </w:r>
      <w:r w:rsidRPr="005218A0">
        <w:rPr>
          <w:rFonts w:ascii="Times New Roman" w:hAnsi="Times New Roman"/>
          <w:sz w:val="22"/>
          <w:szCs w:val="22"/>
        </w:rPr>
        <w:t xml:space="preserve">. </w:t>
      </w:r>
    </w:p>
    <w:p w14:paraId="1A253346" w14:textId="503CC9C7" w:rsidR="007A2D81" w:rsidRPr="005218A0" w:rsidRDefault="007A2D81" w:rsidP="0096211C">
      <w:pPr>
        <w:ind w:left="1440" w:hanging="720"/>
        <w:rPr>
          <w:rFonts w:ascii="Times New Roman" w:hAnsi="Times New Roman"/>
          <w:sz w:val="22"/>
          <w:szCs w:val="22"/>
        </w:rPr>
      </w:pPr>
    </w:p>
    <w:p w14:paraId="4715BA46" w14:textId="6F497E5E" w:rsidR="007A2D81" w:rsidRPr="005218A0" w:rsidRDefault="007A2D81" w:rsidP="0096211C">
      <w:pPr>
        <w:ind w:left="144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 xml:space="preserve">The carrier’s application shall </w:t>
      </w:r>
      <w:r w:rsidR="0022009B" w:rsidRPr="005218A0">
        <w:rPr>
          <w:rFonts w:ascii="Times New Roman" w:hAnsi="Times New Roman"/>
          <w:sz w:val="22"/>
          <w:szCs w:val="22"/>
        </w:rPr>
        <w:t xml:space="preserve">be submitted no later than the deadline announced by the Superintendent for rate and form filings, and shall </w:t>
      </w:r>
      <w:r w:rsidRPr="005218A0">
        <w:rPr>
          <w:rFonts w:ascii="Times New Roman" w:hAnsi="Times New Roman"/>
          <w:sz w:val="22"/>
          <w:szCs w:val="22"/>
        </w:rPr>
        <w:t>include</w:t>
      </w:r>
      <w:r w:rsidR="001A4AD5" w:rsidRPr="005218A0">
        <w:rPr>
          <w:rFonts w:ascii="Times New Roman" w:hAnsi="Times New Roman"/>
          <w:sz w:val="22"/>
          <w:szCs w:val="22"/>
        </w:rPr>
        <w:t>:</w:t>
      </w:r>
    </w:p>
    <w:p w14:paraId="419583CA" w14:textId="4145F244" w:rsidR="001A4AD5" w:rsidRPr="005218A0" w:rsidRDefault="001A4AD5" w:rsidP="007A2D81">
      <w:pPr>
        <w:ind w:left="720" w:hanging="720"/>
        <w:rPr>
          <w:rFonts w:ascii="Times New Roman" w:hAnsi="Times New Roman"/>
          <w:sz w:val="22"/>
          <w:szCs w:val="22"/>
        </w:rPr>
      </w:pPr>
    </w:p>
    <w:p w14:paraId="784F4334" w14:textId="523355C8" w:rsidR="001A4AD5" w:rsidRPr="005218A0" w:rsidRDefault="001A4AD5" w:rsidP="001A4AD5">
      <w:pPr>
        <w:tabs>
          <w:tab w:val="left" w:pos="5760"/>
        </w:tabs>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An actuarial certification, including an explanation why the Alternative Plan Design is not expected to promote adverse selection</w:t>
      </w:r>
      <w:r w:rsidR="0022009B" w:rsidRPr="005218A0">
        <w:rPr>
          <w:rFonts w:ascii="Times New Roman" w:hAnsi="Times New Roman"/>
          <w:sz w:val="22"/>
          <w:szCs w:val="22"/>
        </w:rPr>
        <w:t>,</w:t>
      </w:r>
      <w:r w:rsidRPr="005218A0">
        <w:rPr>
          <w:rFonts w:ascii="Times New Roman" w:hAnsi="Times New Roman"/>
          <w:sz w:val="22"/>
          <w:szCs w:val="22"/>
        </w:rPr>
        <w:t xml:space="preserve"> a description of the significant consumer benefits that are anticipated</w:t>
      </w:r>
      <w:r w:rsidR="0022009B" w:rsidRPr="005218A0">
        <w:rPr>
          <w:rFonts w:ascii="Times New Roman" w:hAnsi="Times New Roman"/>
          <w:sz w:val="22"/>
          <w:szCs w:val="22"/>
        </w:rPr>
        <w:t>, and an explanation why those benefits are not available from any Clear Choice Design or from any of the carrier’s other Alternative Plan Designs</w:t>
      </w:r>
      <w:r w:rsidRPr="005218A0">
        <w:rPr>
          <w:rFonts w:ascii="Times New Roman" w:hAnsi="Times New Roman"/>
          <w:sz w:val="22"/>
          <w:szCs w:val="22"/>
        </w:rPr>
        <w:t>;</w:t>
      </w:r>
    </w:p>
    <w:p w14:paraId="1A3C2235" w14:textId="77777777" w:rsidR="001A4AD5" w:rsidRPr="005218A0" w:rsidRDefault="001A4AD5" w:rsidP="001A4AD5">
      <w:pPr>
        <w:tabs>
          <w:tab w:val="left" w:pos="5760"/>
        </w:tabs>
        <w:ind w:left="2160" w:hanging="720"/>
        <w:rPr>
          <w:rFonts w:ascii="Times New Roman" w:hAnsi="Times New Roman"/>
          <w:sz w:val="22"/>
          <w:szCs w:val="22"/>
        </w:rPr>
      </w:pPr>
    </w:p>
    <w:p w14:paraId="2FE7ED47" w14:textId="6DDE62BF" w:rsidR="001A4AD5" w:rsidRPr="005218A0" w:rsidRDefault="001A4AD5" w:rsidP="001A4AD5">
      <w:pPr>
        <w:tabs>
          <w:tab w:val="left" w:pos="5760"/>
        </w:tabs>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t>Copies of all policy forms the carrier proposes to use in conformance with the Alternative Plan Design, and if there are multiple forms, optional endorsements, or variable language, an explanation why the variations should not be considered distinct plan designs for purposes of this rule;</w:t>
      </w:r>
      <w:r w:rsidR="0022009B" w:rsidRPr="005218A0">
        <w:rPr>
          <w:rFonts w:ascii="Times New Roman" w:hAnsi="Times New Roman"/>
          <w:sz w:val="22"/>
          <w:szCs w:val="22"/>
        </w:rPr>
        <w:t xml:space="preserve"> and</w:t>
      </w:r>
    </w:p>
    <w:p w14:paraId="2AF9840B" w14:textId="62E3C1B5" w:rsidR="001A4AD5" w:rsidRPr="005218A0" w:rsidRDefault="001A4AD5" w:rsidP="001A4AD5">
      <w:pPr>
        <w:tabs>
          <w:tab w:val="left" w:pos="5760"/>
        </w:tabs>
        <w:ind w:left="2160" w:hanging="720"/>
        <w:rPr>
          <w:rFonts w:ascii="Times New Roman" w:hAnsi="Times New Roman"/>
          <w:sz w:val="22"/>
          <w:szCs w:val="22"/>
        </w:rPr>
      </w:pPr>
    </w:p>
    <w:p w14:paraId="568B2521" w14:textId="68D4E4C5" w:rsidR="001A4AD5" w:rsidRPr="005218A0" w:rsidRDefault="0022009B" w:rsidP="001A4AD5">
      <w:pPr>
        <w:tabs>
          <w:tab w:val="left" w:pos="5760"/>
        </w:tabs>
        <w:ind w:left="2160" w:hanging="720"/>
        <w:rPr>
          <w:rFonts w:ascii="Times New Roman" w:hAnsi="Times New Roman"/>
          <w:sz w:val="22"/>
          <w:szCs w:val="22"/>
        </w:rPr>
      </w:pPr>
      <w:r w:rsidRPr="005218A0">
        <w:rPr>
          <w:rFonts w:ascii="Times New Roman" w:hAnsi="Times New Roman"/>
          <w:sz w:val="22"/>
          <w:szCs w:val="22"/>
        </w:rPr>
        <w:t>C.</w:t>
      </w:r>
      <w:r w:rsidRPr="005218A0">
        <w:rPr>
          <w:rFonts w:ascii="Times New Roman" w:hAnsi="Times New Roman"/>
          <w:sz w:val="22"/>
          <w:szCs w:val="22"/>
        </w:rPr>
        <w:tab/>
        <w:t>If the carrier is proposing to modify or discontinue an Alternative</w:t>
      </w:r>
      <w:r w:rsidR="00FB43B7" w:rsidRPr="005218A0">
        <w:rPr>
          <w:rFonts w:ascii="Times New Roman" w:hAnsi="Times New Roman"/>
          <w:sz w:val="22"/>
          <w:szCs w:val="22"/>
        </w:rPr>
        <w:t xml:space="preserve"> </w:t>
      </w:r>
      <w:r w:rsidRPr="005218A0">
        <w:rPr>
          <w:rFonts w:ascii="Times New Roman" w:hAnsi="Times New Roman"/>
          <w:sz w:val="22"/>
          <w:szCs w:val="22"/>
        </w:rPr>
        <w:t>Plan Design already in use</w:t>
      </w:r>
      <w:r w:rsidR="004D11D0" w:rsidRPr="005218A0">
        <w:rPr>
          <w:rFonts w:ascii="Times New Roman" w:hAnsi="Times New Roman"/>
          <w:sz w:val="22"/>
          <w:szCs w:val="22"/>
        </w:rPr>
        <w:t>, an explanation why the modification or discontinuance is permitted under 24-A M.R.S. §2850-B(3)(G) or (I)</w:t>
      </w:r>
      <w:r w:rsidR="005F53C6" w:rsidRPr="005218A0">
        <w:rPr>
          <w:rFonts w:ascii="Times New Roman" w:hAnsi="Times New Roman"/>
          <w:sz w:val="22"/>
          <w:szCs w:val="22"/>
        </w:rPr>
        <w:t>, including a proposed mapping for existing policyholders</w:t>
      </w:r>
      <w:r w:rsidR="004D11D0" w:rsidRPr="005218A0">
        <w:rPr>
          <w:rFonts w:ascii="Times New Roman" w:hAnsi="Times New Roman"/>
          <w:sz w:val="22"/>
          <w:szCs w:val="22"/>
        </w:rPr>
        <w:t>.</w:t>
      </w:r>
    </w:p>
    <w:p w14:paraId="3F1E9C86" w14:textId="226A0597" w:rsidR="007A2D81" w:rsidRPr="005218A0" w:rsidRDefault="007A2D81" w:rsidP="007A2D81">
      <w:pPr>
        <w:ind w:left="720" w:hanging="720"/>
        <w:rPr>
          <w:rFonts w:ascii="Times New Roman" w:hAnsi="Times New Roman"/>
          <w:sz w:val="22"/>
          <w:szCs w:val="22"/>
        </w:rPr>
      </w:pPr>
    </w:p>
    <w:p w14:paraId="58654879" w14:textId="0CD0E590" w:rsidR="007A2D81" w:rsidRPr="005218A0" w:rsidRDefault="007A2D81" w:rsidP="0062594C">
      <w:pPr>
        <w:ind w:left="1440" w:right="1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 xml:space="preserve">If an Alternative Plan Design is approved, the carrier may only </w:t>
      </w:r>
      <w:r w:rsidR="001A4AD5" w:rsidRPr="005218A0">
        <w:rPr>
          <w:rFonts w:ascii="Times New Roman" w:hAnsi="Times New Roman"/>
          <w:sz w:val="22"/>
          <w:szCs w:val="22"/>
        </w:rPr>
        <w:t xml:space="preserve">offer </w:t>
      </w:r>
      <w:r w:rsidR="00D30827" w:rsidRPr="005218A0">
        <w:rPr>
          <w:rFonts w:ascii="Times New Roman" w:hAnsi="Times New Roman"/>
          <w:sz w:val="22"/>
          <w:szCs w:val="22"/>
        </w:rPr>
        <w:t>it</w:t>
      </w:r>
      <w:r w:rsidR="001A4AD5" w:rsidRPr="005218A0">
        <w:rPr>
          <w:rFonts w:ascii="Times New Roman" w:hAnsi="Times New Roman"/>
          <w:sz w:val="22"/>
          <w:szCs w:val="22"/>
        </w:rPr>
        <w:t xml:space="preserve"> in service areas where the carrier offers at least one Clear Choice Plan in the same metal tier. </w:t>
      </w:r>
    </w:p>
    <w:p w14:paraId="58851CA0" w14:textId="783B82E4" w:rsidR="00364FA3" w:rsidRPr="005218A0" w:rsidRDefault="00364FA3" w:rsidP="00107A0C">
      <w:pPr>
        <w:ind w:left="720" w:hanging="720"/>
        <w:rPr>
          <w:rFonts w:ascii="Times New Roman" w:hAnsi="Times New Roman"/>
          <w:sz w:val="22"/>
          <w:szCs w:val="22"/>
        </w:rPr>
      </w:pPr>
    </w:p>
    <w:p w14:paraId="3D833D7B" w14:textId="6188CF54" w:rsidR="00570D7E" w:rsidRPr="005218A0" w:rsidRDefault="00570D7E">
      <w:pPr>
        <w:rPr>
          <w:rFonts w:ascii="Times New Roman" w:hAnsi="Times New Roman"/>
          <w:sz w:val="22"/>
          <w:szCs w:val="22"/>
        </w:rPr>
      </w:pPr>
    </w:p>
    <w:p w14:paraId="497CD5BF" w14:textId="211596DB" w:rsidR="00554252" w:rsidRPr="005218A0" w:rsidRDefault="00554252" w:rsidP="00B75C22">
      <w:pPr>
        <w:keepNext/>
        <w:rPr>
          <w:rFonts w:ascii="Times New Roman" w:hAnsi="Times New Roman"/>
          <w:b/>
          <w:sz w:val="22"/>
          <w:szCs w:val="22"/>
        </w:rPr>
      </w:pPr>
      <w:r w:rsidRPr="005218A0">
        <w:rPr>
          <w:rFonts w:ascii="Times New Roman" w:hAnsi="Times New Roman"/>
          <w:b/>
          <w:sz w:val="22"/>
          <w:szCs w:val="22"/>
        </w:rPr>
        <w:t xml:space="preserve">Section </w:t>
      </w:r>
      <w:r w:rsidR="00C11821" w:rsidRPr="005218A0">
        <w:rPr>
          <w:rFonts w:ascii="Times New Roman" w:hAnsi="Times New Roman"/>
          <w:b/>
          <w:sz w:val="22"/>
          <w:szCs w:val="22"/>
        </w:rPr>
        <w:t>7</w:t>
      </w:r>
      <w:r w:rsidRPr="005218A0">
        <w:rPr>
          <w:rFonts w:ascii="Times New Roman" w:hAnsi="Times New Roman"/>
          <w:b/>
          <w:sz w:val="22"/>
          <w:szCs w:val="22"/>
        </w:rPr>
        <w:t>.</w:t>
      </w:r>
      <w:r w:rsidRPr="005218A0">
        <w:rPr>
          <w:rFonts w:ascii="Times New Roman" w:hAnsi="Times New Roman"/>
          <w:b/>
          <w:sz w:val="22"/>
          <w:szCs w:val="22"/>
        </w:rPr>
        <w:tab/>
        <w:t>Severability</w:t>
      </w:r>
    </w:p>
    <w:p w14:paraId="5520E829" w14:textId="77777777" w:rsidR="00554252" w:rsidRPr="005218A0" w:rsidRDefault="00554252" w:rsidP="00B75C22">
      <w:pPr>
        <w:keepNext/>
        <w:rPr>
          <w:rFonts w:ascii="Times New Roman" w:hAnsi="Times New Roman"/>
          <w:sz w:val="22"/>
          <w:szCs w:val="22"/>
        </w:rPr>
      </w:pPr>
    </w:p>
    <w:p w14:paraId="6A775CAF" w14:textId="76DE77BB" w:rsidR="00554252" w:rsidRPr="005218A0" w:rsidRDefault="00554252" w:rsidP="0096211C">
      <w:pPr>
        <w:ind w:left="720"/>
        <w:rPr>
          <w:rFonts w:ascii="Times New Roman" w:hAnsi="Times New Roman"/>
          <w:sz w:val="22"/>
          <w:szCs w:val="22"/>
        </w:rPr>
      </w:pPr>
      <w:r w:rsidRPr="005218A0">
        <w:rPr>
          <w:rFonts w:ascii="Times New Roman" w:hAnsi="Times New Roman"/>
          <w:sz w:val="22"/>
          <w:szCs w:val="22"/>
        </w:rPr>
        <w:t xml:space="preserve">If any section, term, or provision of this </w:t>
      </w:r>
      <w:r w:rsidR="0091620A" w:rsidRPr="005218A0">
        <w:rPr>
          <w:rFonts w:ascii="Times New Roman" w:hAnsi="Times New Roman"/>
          <w:sz w:val="22"/>
          <w:szCs w:val="22"/>
        </w:rPr>
        <w:t>r</w:t>
      </w:r>
      <w:r w:rsidRPr="005218A0">
        <w:rPr>
          <w:rFonts w:ascii="Times New Roman" w:hAnsi="Times New Roman"/>
          <w:sz w:val="22"/>
          <w:szCs w:val="22"/>
        </w:rPr>
        <w:t>ule shall be deemed invalid for any reason, any remaining section, provision, or definition shall remain in full force and effect.</w:t>
      </w:r>
    </w:p>
    <w:p w14:paraId="002BA615" w14:textId="491A3A4F" w:rsidR="00554252" w:rsidRPr="005218A0" w:rsidRDefault="00554252" w:rsidP="00554252">
      <w:pPr>
        <w:rPr>
          <w:rFonts w:ascii="Times New Roman" w:hAnsi="Times New Roman"/>
          <w:sz w:val="22"/>
          <w:szCs w:val="22"/>
        </w:rPr>
      </w:pPr>
    </w:p>
    <w:p w14:paraId="0E3BD0DA" w14:textId="77777777" w:rsidR="002B1488" w:rsidRPr="005218A0" w:rsidRDefault="002B1488" w:rsidP="00554252">
      <w:pPr>
        <w:rPr>
          <w:rFonts w:ascii="Times New Roman" w:hAnsi="Times New Roman"/>
          <w:sz w:val="22"/>
          <w:szCs w:val="22"/>
        </w:rPr>
      </w:pPr>
    </w:p>
    <w:p w14:paraId="258F1473" w14:textId="58F744DF" w:rsidR="00554252" w:rsidRPr="005218A0" w:rsidRDefault="00554252" w:rsidP="003557C8">
      <w:pPr>
        <w:keepNext/>
        <w:rPr>
          <w:rFonts w:ascii="Times New Roman" w:hAnsi="Times New Roman"/>
          <w:b/>
          <w:sz w:val="22"/>
          <w:szCs w:val="22"/>
        </w:rPr>
      </w:pPr>
      <w:r w:rsidRPr="005218A0">
        <w:rPr>
          <w:rFonts w:ascii="Times New Roman" w:hAnsi="Times New Roman"/>
          <w:b/>
          <w:sz w:val="22"/>
          <w:szCs w:val="22"/>
        </w:rPr>
        <w:t xml:space="preserve">Section </w:t>
      </w:r>
      <w:r w:rsidR="00C11821" w:rsidRPr="005218A0">
        <w:rPr>
          <w:rFonts w:ascii="Times New Roman" w:hAnsi="Times New Roman"/>
          <w:b/>
          <w:sz w:val="22"/>
          <w:szCs w:val="22"/>
        </w:rPr>
        <w:t>8</w:t>
      </w:r>
      <w:r w:rsidRPr="005218A0">
        <w:rPr>
          <w:rFonts w:ascii="Times New Roman" w:hAnsi="Times New Roman"/>
          <w:b/>
          <w:sz w:val="22"/>
          <w:szCs w:val="22"/>
        </w:rPr>
        <w:t>.</w:t>
      </w:r>
      <w:r w:rsidRPr="005218A0">
        <w:rPr>
          <w:rFonts w:ascii="Times New Roman" w:hAnsi="Times New Roman"/>
          <w:sz w:val="22"/>
          <w:szCs w:val="22"/>
        </w:rPr>
        <w:t xml:space="preserve"> </w:t>
      </w:r>
      <w:r w:rsidRPr="005218A0">
        <w:rPr>
          <w:rFonts w:ascii="Times New Roman" w:hAnsi="Times New Roman"/>
          <w:b/>
          <w:sz w:val="22"/>
          <w:szCs w:val="22"/>
        </w:rPr>
        <w:tab/>
        <w:t>Effective date</w:t>
      </w:r>
    </w:p>
    <w:p w14:paraId="7D1048AE" w14:textId="77777777" w:rsidR="00554252" w:rsidRPr="005218A0" w:rsidRDefault="00554252" w:rsidP="003557C8">
      <w:pPr>
        <w:keepNext/>
        <w:rPr>
          <w:rFonts w:ascii="Times New Roman" w:hAnsi="Times New Roman"/>
          <w:sz w:val="22"/>
          <w:szCs w:val="22"/>
        </w:rPr>
      </w:pPr>
    </w:p>
    <w:p w14:paraId="771FA811" w14:textId="28E3510F" w:rsidR="00FF10B3" w:rsidRPr="005218A0" w:rsidRDefault="0096211C" w:rsidP="00A00132">
      <w:pPr>
        <w:ind w:right="-90"/>
        <w:rPr>
          <w:rFonts w:ascii="Times New Roman" w:hAnsi="Times New Roman"/>
          <w:sz w:val="22"/>
          <w:szCs w:val="22"/>
        </w:rPr>
      </w:pPr>
      <w:r w:rsidRPr="005218A0">
        <w:rPr>
          <w:rFonts w:ascii="Times New Roman" w:hAnsi="Times New Roman"/>
          <w:sz w:val="22"/>
          <w:szCs w:val="22"/>
        </w:rPr>
        <w:tab/>
      </w:r>
      <w:r w:rsidR="00554252" w:rsidRPr="005218A0">
        <w:rPr>
          <w:rFonts w:ascii="Times New Roman" w:hAnsi="Times New Roman"/>
          <w:sz w:val="22"/>
          <w:szCs w:val="22"/>
        </w:rPr>
        <w:t xml:space="preserve">This </w:t>
      </w:r>
      <w:r w:rsidR="0091620A" w:rsidRPr="005218A0">
        <w:rPr>
          <w:rFonts w:ascii="Times New Roman" w:hAnsi="Times New Roman"/>
          <w:sz w:val="22"/>
          <w:szCs w:val="22"/>
        </w:rPr>
        <w:t>r</w:t>
      </w:r>
      <w:r w:rsidR="00554252" w:rsidRPr="005218A0">
        <w:rPr>
          <w:rFonts w:ascii="Times New Roman" w:hAnsi="Times New Roman"/>
          <w:sz w:val="22"/>
          <w:szCs w:val="22"/>
        </w:rPr>
        <w:t>ule is effective</w:t>
      </w:r>
      <w:r w:rsidR="002348E0" w:rsidRPr="005218A0">
        <w:rPr>
          <w:rFonts w:ascii="Times New Roman" w:hAnsi="Times New Roman"/>
          <w:sz w:val="22"/>
          <w:szCs w:val="22"/>
        </w:rPr>
        <w:t xml:space="preserve"> </w:t>
      </w:r>
      <w:r w:rsidRPr="005218A0">
        <w:rPr>
          <w:rFonts w:ascii="Times New Roman" w:hAnsi="Times New Roman"/>
          <w:sz w:val="22"/>
          <w:szCs w:val="22"/>
        </w:rPr>
        <w:t>June 8, 2021</w:t>
      </w:r>
      <w:r w:rsidR="00685A51" w:rsidRPr="005218A0">
        <w:rPr>
          <w:rFonts w:ascii="Times New Roman" w:hAnsi="Times New Roman"/>
          <w:sz w:val="22"/>
          <w:szCs w:val="22"/>
        </w:rPr>
        <w:t>.</w:t>
      </w:r>
      <w:r w:rsidR="00105D45" w:rsidRPr="005218A0">
        <w:rPr>
          <w:rFonts w:ascii="Times New Roman" w:hAnsi="Times New Roman"/>
          <w:sz w:val="22"/>
          <w:szCs w:val="22"/>
        </w:rPr>
        <w:t xml:space="preserve"> The 2022 amendments are effective </w:t>
      </w:r>
      <w:r w:rsidR="00A00132" w:rsidRPr="00A00132">
        <w:rPr>
          <w:rFonts w:ascii="Times New Roman" w:hAnsi="Times New Roman"/>
          <w:sz w:val="22"/>
          <w:szCs w:val="22"/>
        </w:rPr>
        <w:t>December 4, 2022</w:t>
      </w:r>
      <w:r w:rsidR="00105D45" w:rsidRPr="005218A0">
        <w:rPr>
          <w:rFonts w:ascii="Times New Roman" w:hAnsi="Times New Roman"/>
          <w:sz w:val="22"/>
          <w:szCs w:val="22"/>
        </w:rPr>
        <w:t>.</w:t>
      </w:r>
    </w:p>
    <w:p w14:paraId="53F4C60D" w14:textId="07154BA8" w:rsidR="00BF3073" w:rsidRPr="00412731" w:rsidRDefault="00BF3073" w:rsidP="00F05FD3">
      <w:pPr>
        <w:pBdr>
          <w:bottom w:val="single" w:sz="4" w:space="1" w:color="auto"/>
        </w:pBdr>
        <w:rPr>
          <w:rFonts w:ascii="Times New Roman" w:hAnsi="Times New Roman"/>
          <w:sz w:val="22"/>
          <w:szCs w:val="22"/>
        </w:rPr>
      </w:pPr>
    </w:p>
    <w:p w14:paraId="7B615131" w14:textId="2299C0A7" w:rsidR="00BF3073" w:rsidRDefault="00BF3073">
      <w:pPr>
        <w:rPr>
          <w:rFonts w:ascii="Times New Roman" w:hAnsi="Times New Roman"/>
          <w:sz w:val="22"/>
          <w:szCs w:val="22"/>
        </w:rPr>
      </w:pPr>
    </w:p>
    <w:p w14:paraId="7F808DEC" w14:textId="01D18CFA" w:rsidR="00F05FD3" w:rsidRDefault="00F05FD3">
      <w:pPr>
        <w:rPr>
          <w:rFonts w:ascii="Times New Roman" w:hAnsi="Times New Roman"/>
          <w:sz w:val="22"/>
          <w:szCs w:val="22"/>
        </w:rPr>
      </w:pPr>
    </w:p>
    <w:p w14:paraId="43D64F49" w14:textId="77777777" w:rsidR="007309C4" w:rsidRDefault="007309C4">
      <w:pPr>
        <w:rPr>
          <w:rFonts w:ascii="Times New Roman" w:hAnsi="Times New Roman"/>
          <w:sz w:val="22"/>
          <w:szCs w:val="22"/>
        </w:rPr>
      </w:pPr>
      <w:r>
        <w:rPr>
          <w:rFonts w:ascii="Times New Roman" w:hAnsi="Times New Roman"/>
          <w:sz w:val="22"/>
          <w:szCs w:val="22"/>
        </w:rPr>
        <w:br w:type="page"/>
      </w:r>
    </w:p>
    <w:p w14:paraId="5F19F835" w14:textId="741AD124" w:rsidR="00F05FD3" w:rsidRDefault="00F05FD3">
      <w:pPr>
        <w:rPr>
          <w:rFonts w:ascii="Times New Roman" w:hAnsi="Times New Roman"/>
          <w:sz w:val="22"/>
          <w:szCs w:val="22"/>
        </w:rPr>
      </w:pPr>
      <w:r>
        <w:rPr>
          <w:rFonts w:ascii="Times New Roman" w:hAnsi="Times New Roman"/>
          <w:sz w:val="22"/>
          <w:szCs w:val="22"/>
        </w:rPr>
        <w:lastRenderedPageBreak/>
        <w:t>STATUTORY AUTHORITY:</w:t>
      </w:r>
    </w:p>
    <w:p w14:paraId="0C0895BF" w14:textId="294D8BCD" w:rsidR="00F05FD3" w:rsidRDefault="00F05FD3">
      <w:pPr>
        <w:rPr>
          <w:rFonts w:ascii="Times New Roman" w:hAnsi="Times New Roman"/>
          <w:sz w:val="22"/>
          <w:szCs w:val="22"/>
        </w:rPr>
      </w:pPr>
      <w:r>
        <w:rPr>
          <w:rFonts w:ascii="Times New Roman" w:hAnsi="Times New Roman"/>
          <w:sz w:val="22"/>
          <w:szCs w:val="22"/>
        </w:rPr>
        <w:tab/>
        <w:t>24-A MRS §§ 212, 2793</w:t>
      </w:r>
    </w:p>
    <w:p w14:paraId="6AE7EE1A" w14:textId="5EA64D43" w:rsidR="00F05FD3" w:rsidRDefault="00F05FD3">
      <w:pPr>
        <w:rPr>
          <w:rFonts w:ascii="Times New Roman" w:hAnsi="Times New Roman"/>
          <w:sz w:val="22"/>
          <w:szCs w:val="22"/>
        </w:rPr>
      </w:pPr>
    </w:p>
    <w:p w14:paraId="2CEEF0D0" w14:textId="33FADC87" w:rsidR="00F05FD3" w:rsidRDefault="007309C4">
      <w:pPr>
        <w:rPr>
          <w:rFonts w:ascii="Times New Roman" w:hAnsi="Times New Roman"/>
          <w:sz w:val="22"/>
          <w:szCs w:val="22"/>
        </w:rPr>
      </w:pPr>
      <w:r>
        <w:rPr>
          <w:rFonts w:ascii="Times New Roman" w:hAnsi="Times New Roman"/>
          <w:sz w:val="22"/>
          <w:szCs w:val="22"/>
        </w:rPr>
        <w:t>AMENDED (</w:t>
      </w:r>
      <w:r w:rsidR="00F05FD3">
        <w:rPr>
          <w:rFonts w:ascii="Times New Roman" w:hAnsi="Times New Roman"/>
          <w:sz w:val="22"/>
          <w:szCs w:val="22"/>
        </w:rPr>
        <w:t>EFFECTIVE DATE</w:t>
      </w:r>
      <w:r>
        <w:rPr>
          <w:rFonts w:ascii="Times New Roman" w:hAnsi="Times New Roman"/>
          <w:sz w:val="22"/>
          <w:szCs w:val="22"/>
        </w:rPr>
        <w:t>)</w:t>
      </w:r>
      <w:r w:rsidR="00F05FD3">
        <w:rPr>
          <w:rFonts w:ascii="Times New Roman" w:hAnsi="Times New Roman"/>
          <w:sz w:val="22"/>
          <w:szCs w:val="22"/>
        </w:rPr>
        <w:t>:</w:t>
      </w:r>
    </w:p>
    <w:p w14:paraId="5EC83A55" w14:textId="39EAEBFA" w:rsidR="00F05FD3" w:rsidRDefault="00F05FD3">
      <w:pPr>
        <w:rPr>
          <w:rFonts w:ascii="Times New Roman" w:hAnsi="Times New Roman"/>
          <w:sz w:val="22"/>
          <w:szCs w:val="22"/>
        </w:rPr>
      </w:pPr>
      <w:r>
        <w:rPr>
          <w:rFonts w:ascii="Times New Roman" w:hAnsi="Times New Roman"/>
          <w:sz w:val="22"/>
          <w:szCs w:val="22"/>
        </w:rPr>
        <w:tab/>
        <w:t>June 8, 2021 – filing 2021-124</w:t>
      </w:r>
    </w:p>
    <w:p w14:paraId="26A3DBC7" w14:textId="13069EC7" w:rsidR="007309C4" w:rsidRDefault="007309C4">
      <w:pPr>
        <w:rPr>
          <w:rFonts w:ascii="Times New Roman" w:hAnsi="Times New Roman"/>
          <w:sz w:val="22"/>
          <w:szCs w:val="22"/>
        </w:rPr>
      </w:pPr>
      <w:r>
        <w:rPr>
          <w:rFonts w:ascii="Times New Roman" w:hAnsi="Times New Roman"/>
          <w:sz w:val="22"/>
          <w:szCs w:val="22"/>
        </w:rPr>
        <w:tab/>
        <w:t>December 4, 2022 – filing 2022-232</w:t>
      </w:r>
    </w:p>
    <w:p w14:paraId="1C01F161" w14:textId="77777777" w:rsidR="00F05FD3" w:rsidRDefault="00F05FD3">
      <w:pPr>
        <w:rPr>
          <w:rFonts w:ascii="Times New Roman" w:hAnsi="Times New Roman"/>
          <w:sz w:val="22"/>
          <w:szCs w:val="22"/>
        </w:rPr>
      </w:pPr>
    </w:p>
    <w:sectPr w:rsidR="00F05FD3" w:rsidSect="00F05FD3">
      <w:head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8E7C" w14:textId="77777777" w:rsidR="00F04EB1" w:rsidRDefault="00F04EB1" w:rsidP="00E32518">
      <w:r>
        <w:separator/>
      </w:r>
    </w:p>
  </w:endnote>
  <w:endnote w:type="continuationSeparator" w:id="0">
    <w:p w14:paraId="7C97A960" w14:textId="77777777" w:rsidR="00F04EB1" w:rsidRDefault="00F04EB1" w:rsidP="00E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D644" w14:textId="77777777" w:rsidR="00F04EB1" w:rsidRDefault="00F04EB1" w:rsidP="00E32518">
      <w:r>
        <w:separator/>
      </w:r>
    </w:p>
  </w:footnote>
  <w:footnote w:type="continuationSeparator" w:id="0">
    <w:p w14:paraId="6F800278" w14:textId="77777777" w:rsidR="00F04EB1" w:rsidRDefault="00F04EB1" w:rsidP="00E3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B1B1" w14:textId="2731D37E" w:rsidR="00862D00" w:rsidRPr="00E219CE" w:rsidRDefault="00862D00" w:rsidP="00E219CE">
    <w:pPr>
      <w:pStyle w:val="Header"/>
      <w:pBdr>
        <w:bottom w:val="single" w:sz="4" w:space="1" w:color="auto"/>
      </w:pBdr>
      <w:jc w:val="right"/>
      <w:rPr>
        <w:rFonts w:ascii="Times New Roman" w:hAnsi="Times New Roman"/>
        <w:sz w:val="18"/>
        <w:szCs w:val="18"/>
      </w:rPr>
    </w:pPr>
    <w:r w:rsidRPr="00E219CE">
      <w:rPr>
        <w:rFonts w:ascii="Times New Roman" w:hAnsi="Times New Roman"/>
        <w:sz w:val="18"/>
        <w:szCs w:val="18"/>
      </w:rPr>
      <w:t>02-031</w:t>
    </w:r>
    <w:r w:rsidR="00E219CE" w:rsidRPr="00E219CE">
      <w:rPr>
        <w:rFonts w:ascii="Times New Roman" w:hAnsi="Times New Roman"/>
        <w:sz w:val="18"/>
        <w:szCs w:val="18"/>
      </w:rPr>
      <w:t xml:space="preserve"> Chapter 851     page </w:t>
    </w:r>
    <w:r w:rsidR="00E219CE" w:rsidRPr="00E219CE">
      <w:rPr>
        <w:rFonts w:ascii="Times New Roman" w:hAnsi="Times New Roman"/>
        <w:sz w:val="18"/>
        <w:szCs w:val="18"/>
      </w:rPr>
      <w:fldChar w:fldCharType="begin"/>
    </w:r>
    <w:r w:rsidR="00E219CE" w:rsidRPr="00E219CE">
      <w:rPr>
        <w:rFonts w:ascii="Times New Roman" w:hAnsi="Times New Roman"/>
        <w:sz w:val="18"/>
        <w:szCs w:val="18"/>
      </w:rPr>
      <w:instrText xml:space="preserve"> PAGE   \* MERGEFORMAT </w:instrText>
    </w:r>
    <w:r w:rsidR="00E219CE" w:rsidRPr="00E219CE">
      <w:rPr>
        <w:rFonts w:ascii="Times New Roman" w:hAnsi="Times New Roman"/>
        <w:sz w:val="18"/>
        <w:szCs w:val="18"/>
      </w:rPr>
      <w:fldChar w:fldCharType="separate"/>
    </w:r>
    <w:r w:rsidR="00E219CE" w:rsidRPr="00E219CE">
      <w:rPr>
        <w:rFonts w:ascii="Times New Roman" w:hAnsi="Times New Roman"/>
        <w:noProof/>
        <w:sz w:val="18"/>
        <w:szCs w:val="18"/>
      </w:rPr>
      <w:t>1</w:t>
    </w:r>
    <w:r w:rsidR="00E219CE" w:rsidRPr="00E219CE">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00"/>
    <w:multiLevelType w:val="hybridMultilevel"/>
    <w:tmpl w:val="1702EEBC"/>
    <w:lvl w:ilvl="0" w:tplc="04090011">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002BA3"/>
    <w:multiLevelType w:val="hybridMultilevel"/>
    <w:tmpl w:val="22F0BDA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CD1508"/>
    <w:multiLevelType w:val="hybridMultilevel"/>
    <w:tmpl w:val="DB947D52"/>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9121F4"/>
    <w:multiLevelType w:val="hybridMultilevel"/>
    <w:tmpl w:val="3E20C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10B69"/>
    <w:multiLevelType w:val="hybridMultilevel"/>
    <w:tmpl w:val="DAEA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56FB"/>
    <w:multiLevelType w:val="hybridMultilevel"/>
    <w:tmpl w:val="C240B382"/>
    <w:lvl w:ilvl="0" w:tplc="822A1AD6">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5524B8"/>
    <w:multiLevelType w:val="hybridMultilevel"/>
    <w:tmpl w:val="DDE2DAA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D010F"/>
    <w:multiLevelType w:val="hybridMultilevel"/>
    <w:tmpl w:val="E2A0B3E4"/>
    <w:lvl w:ilvl="0" w:tplc="04090017">
      <w:start w:val="1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A40317"/>
    <w:multiLevelType w:val="hybridMultilevel"/>
    <w:tmpl w:val="590A3E5E"/>
    <w:lvl w:ilvl="0" w:tplc="C4FA61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62F6177"/>
    <w:multiLevelType w:val="hybridMultilevel"/>
    <w:tmpl w:val="8F9A6A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837196"/>
    <w:multiLevelType w:val="hybridMultilevel"/>
    <w:tmpl w:val="FD3C6F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E49AE"/>
    <w:multiLevelType w:val="hybridMultilevel"/>
    <w:tmpl w:val="900CC84C"/>
    <w:lvl w:ilvl="0" w:tplc="04090017">
      <w:start w:val="11"/>
      <w:numFmt w:val="lowerLetter"/>
      <w:lvlText w:val="%1)"/>
      <w:lvlJc w:val="left"/>
      <w:pPr>
        <w:ind w:left="1080" w:hanging="360"/>
      </w:pPr>
      <w:rPr>
        <w:rFonts w:hint="default"/>
      </w:rPr>
    </w:lvl>
    <w:lvl w:ilvl="1" w:tplc="822A1AD6">
      <w:start w:val="4"/>
      <w:numFmt w:val="lowerRoman"/>
      <w:lvlText w:val="%2)"/>
      <w:lvlJc w:val="left"/>
      <w:pPr>
        <w:ind w:left="1800" w:hanging="360"/>
      </w:pPr>
      <w:rPr>
        <w:rFonts w:hint="default"/>
      </w:rPr>
    </w:lvl>
    <w:lvl w:ilvl="2" w:tplc="77AA565A">
      <w:start w:val="2"/>
      <w:numFmt w:val="upperLetter"/>
      <w:lvlText w:val="%3."/>
      <w:lvlJc w:val="left"/>
      <w:pPr>
        <w:ind w:left="2700" w:hanging="360"/>
      </w:pPr>
      <w:rPr>
        <w:rFonts w:hint="default"/>
      </w:rPr>
    </w:lvl>
    <w:lvl w:ilvl="3" w:tplc="5F466F7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A17C98"/>
    <w:multiLevelType w:val="hybridMultilevel"/>
    <w:tmpl w:val="9252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46E57"/>
    <w:multiLevelType w:val="hybridMultilevel"/>
    <w:tmpl w:val="EBD04A26"/>
    <w:lvl w:ilvl="0" w:tplc="2B607B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5501D"/>
    <w:multiLevelType w:val="hybridMultilevel"/>
    <w:tmpl w:val="AFCCB65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D35950"/>
    <w:multiLevelType w:val="hybridMultilevel"/>
    <w:tmpl w:val="A0BCE59E"/>
    <w:lvl w:ilvl="0" w:tplc="102A93E0">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763803"/>
    <w:multiLevelType w:val="hybridMultilevel"/>
    <w:tmpl w:val="10DABFC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244479"/>
    <w:multiLevelType w:val="hybridMultilevel"/>
    <w:tmpl w:val="EC563C34"/>
    <w:lvl w:ilvl="0" w:tplc="1542E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435301"/>
    <w:multiLevelType w:val="hybridMultilevel"/>
    <w:tmpl w:val="D294E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950A5"/>
    <w:multiLevelType w:val="hybridMultilevel"/>
    <w:tmpl w:val="7F403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F2C21"/>
    <w:multiLevelType w:val="hybridMultilevel"/>
    <w:tmpl w:val="2F5A1CC6"/>
    <w:lvl w:ilvl="0" w:tplc="29040ADA">
      <w:start w:val="1"/>
      <w:numFmt w:val="lowerLetter"/>
      <w:lvlText w:val="(%1)"/>
      <w:lvlJc w:val="left"/>
      <w:pPr>
        <w:ind w:left="993" w:hanging="326"/>
      </w:pPr>
      <w:rPr>
        <w:rFonts w:ascii="Times New Roman" w:eastAsia="Times New Roman" w:hAnsi="Times New Roman" w:cs="Times New Roman" w:hint="default"/>
        <w:w w:val="99"/>
        <w:sz w:val="24"/>
        <w:szCs w:val="24"/>
      </w:rPr>
    </w:lvl>
    <w:lvl w:ilvl="1" w:tplc="C34000CA">
      <w:start w:val="1"/>
      <w:numFmt w:val="decimal"/>
      <w:lvlText w:val="(%2)"/>
      <w:lvlJc w:val="left"/>
      <w:pPr>
        <w:ind w:left="120" w:hanging="399"/>
      </w:pPr>
      <w:rPr>
        <w:rFonts w:ascii="Times New Roman" w:eastAsia="Times New Roman" w:hAnsi="Times New Roman" w:cs="Times New Roman" w:hint="default"/>
        <w:spacing w:val="-3"/>
        <w:w w:val="99"/>
        <w:sz w:val="24"/>
        <w:szCs w:val="24"/>
      </w:rPr>
    </w:lvl>
    <w:lvl w:ilvl="2" w:tplc="7E3AE2D4">
      <w:numFmt w:val="bullet"/>
      <w:lvlText w:val="•"/>
      <w:lvlJc w:val="left"/>
      <w:pPr>
        <w:ind w:left="2115" w:hanging="399"/>
      </w:pPr>
      <w:rPr>
        <w:rFonts w:hint="default"/>
      </w:rPr>
    </w:lvl>
    <w:lvl w:ilvl="3" w:tplc="A19C737E">
      <w:numFmt w:val="bullet"/>
      <w:lvlText w:val="•"/>
      <w:lvlJc w:val="left"/>
      <w:pPr>
        <w:ind w:left="3231" w:hanging="399"/>
      </w:pPr>
      <w:rPr>
        <w:rFonts w:hint="default"/>
      </w:rPr>
    </w:lvl>
    <w:lvl w:ilvl="4" w:tplc="22DA7028">
      <w:numFmt w:val="bullet"/>
      <w:lvlText w:val="•"/>
      <w:lvlJc w:val="left"/>
      <w:pPr>
        <w:ind w:left="4346" w:hanging="399"/>
      </w:pPr>
      <w:rPr>
        <w:rFonts w:hint="default"/>
      </w:rPr>
    </w:lvl>
    <w:lvl w:ilvl="5" w:tplc="1788231C">
      <w:numFmt w:val="bullet"/>
      <w:lvlText w:val="•"/>
      <w:lvlJc w:val="left"/>
      <w:pPr>
        <w:ind w:left="5462" w:hanging="399"/>
      </w:pPr>
      <w:rPr>
        <w:rFonts w:hint="default"/>
      </w:rPr>
    </w:lvl>
    <w:lvl w:ilvl="6" w:tplc="4850BCCC">
      <w:numFmt w:val="bullet"/>
      <w:lvlText w:val="•"/>
      <w:lvlJc w:val="left"/>
      <w:pPr>
        <w:ind w:left="6577" w:hanging="399"/>
      </w:pPr>
      <w:rPr>
        <w:rFonts w:hint="default"/>
      </w:rPr>
    </w:lvl>
    <w:lvl w:ilvl="7" w:tplc="7EB20520">
      <w:numFmt w:val="bullet"/>
      <w:lvlText w:val="•"/>
      <w:lvlJc w:val="left"/>
      <w:pPr>
        <w:ind w:left="7693" w:hanging="399"/>
      </w:pPr>
      <w:rPr>
        <w:rFonts w:hint="default"/>
      </w:rPr>
    </w:lvl>
    <w:lvl w:ilvl="8" w:tplc="004CB62C">
      <w:numFmt w:val="bullet"/>
      <w:lvlText w:val="•"/>
      <w:lvlJc w:val="left"/>
      <w:pPr>
        <w:ind w:left="8808" w:hanging="399"/>
      </w:pPr>
      <w:rPr>
        <w:rFonts w:hint="default"/>
      </w:rPr>
    </w:lvl>
  </w:abstractNum>
  <w:abstractNum w:abstractNumId="21" w15:restartNumberingAfterBreak="0">
    <w:nsid w:val="7A4C7A27"/>
    <w:multiLevelType w:val="hybridMultilevel"/>
    <w:tmpl w:val="017675C8"/>
    <w:lvl w:ilvl="0" w:tplc="0EC84E9A">
      <w:start w:val="1"/>
      <w:numFmt w:val="lowerRoman"/>
      <w:lvlText w:val="%1)"/>
      <w:lvlJc w:val="left"/>
      <w:pPr>
        <w:ind w:left="1800" w:hanging="360"/>
      </w:pPr>
      <w:rPr>
        <w:rFonts w:hint="default"/>
      </w:rPr>
    </w:lvl>
    <w:lvl w:ilvl="1" w:tplc="0EC84E9A">
      <w:start w:val="1"/>
      <w:numFmt w:val="lowerRoman"/>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11"/>
  </w:num>
  <w:num w:numId="6">
    <w:abstractNumId w:val="7"/>
  </w:num>
  <w:num w:numId="7">
    <w:abstractNumId w:val="12"/>
  </w:num>
  <w:num w:numId="8">
    <w:abstractNumId w:val="9"/>
  </w:num>
  <w:num w:numId="9">
    <w:abstractNumId w:val="6"/>
  </w:num>
  <w:num w:numId="10">
    <w:abstractNumId w:val="0"/>
  </w:num>
  <w:num w:numId="11">
    <w:abstractNumId w:val="3"/>
  </w:num>
  <w:num w:numId="12">
    <w:abstractNumId w:val="16"/>
  </w:num>
  <w:num w:numId="13">
    <w:abstractNumId w:val="14"/>
  </w:num>
  <w:num w:numId="14">
    <w:abstractNumId w:val="18"/>
  </w:num>
  <w:num w:numId="15">
    <w:abstractNumId w:val="10"/>
  </w:num>
  <w:num w:numId="16">
    <w:abstractNumId w:val="15"/>
  </w:num>
  <w:num w:numId="17">
    <w:abstractNumId w:val="21"/>
  </w:num>
  <w:num w:numId="18">
    <w:abstractNumId w:val="20"/>
  </w:num>
  <w:num w:numId="19">
    <w:abstractNumId w:val="17"/>
  </w:num>
  <w:num w:numId="20">
    <w:abstractNumId w:val="4"/>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8"/>
    <w:rsid w:val="00000FE4"/>
    <w:rsid w:val="0000127A"/>
    <w:rsid w:val="00002677"/>
    <w:rsid w:val="00014AFC"/>
    <w:rsid w:val="00017FB2"/>
    <w:rsid w:val="0002351F"/>
    <w:rsid w:val="00025984"/>
    <w:rsid w:val="00027787"/>
    <w:rsid w:val="00030280"/>
    <w:rsid w:val="0003477C"/>
    <w:rsid w:val="00043AB8"/>
    <w:rsid w:val="00044C86"/>
    <w:rsid w:val="00052A57"/>
    <w:rsid w:val="00053074"/>
    <w:rsid w:val="00053AA8"/>
    <w:rsid w:val="00054AB4"/>
    <w:rsid w:val="00056008"/>
    <w:rsid w:val="000602A2"/>
    <w:rsid w:val="00061456"/>
    <w:rsid w:val="0006268D"/>
    <w:rsid w:val="00075A79"/>
    <w:rsid w:val="000766C1"/>
    <w:rsid w:val="00081587"/>
    <w:rsid w:val="00084E7B"/>
    <w:rsid w:val="0009565C"/>
    <w:rsid w:val="000A0CC2"/>
    <w:rsid w:val="000A6E6D"/>
    <w:rsid w:val="000B490C"/>
    <w:rsid w:val="000C0A98"/>
    <w:rsid w:val="000C1FDD"/>
    <w:rsid w:val="000C57BE"/>
    <w:rsid w:val="000C6A75"/>
    <w:rsid w:val="000C71F8"/>
    <w:rsid w:val="000D3272"/>
    <w:rsid w:val="000D392F"/>
    <w:rsid w:val="000E2EE6"/>
    <w:rsid w:val="000E6C72"/>
    <w:rsid w:val="000F018B"/>
    <w:rsid w:val="000F58B9"/>
    <w:rsid w:val="00100665"/>
    <w:rsid w:val="00105D45"/>
    <w:rsid w:val="00107A0C"/>
    <w:rsid w:val="00113008"/>
    <w:rsid w:val="00115F13"/>
    <w:rsid w:val="00121EA4"/>
    <w:rsid w:val="00125E08"/>
    <w:rsid w:val="00137E27"/>
    <w:rsid w:val="00145E0B"/>
    <w:rsid w:val="00145FD0"/>
    <w:rsid w:val="0015609B"/>
    <w:rsid w:val="00160ADE"/>
    <w:rsid w:val="001621AE"/>
    <w:rsid w:val="00164432"/>
    <w:rsid w:val="00164D1E"/>
    <w:rsid w:val="0017525B"/>
    <w:rsid w:val="0018329F"/>
    <w:rsid w:val="00183C12"/>
    <w:rsid w:val="001850C1"/>
    <w:rsid w:val="00194583"/>
    <w:rsid w:val="0019551C"/>
    <w:rsid w:val="001A25F0"/>
    <w:rsid w:val="001A4AD5"/>
    <w:rsid w:val="001A6414"/>
    <w:rsid w:val="001B0620"/>
    <w:rsid w:val="001B2942"/>
    <w:rsid w:val="001B7C16"/>
    <w:rsid w:val="001C41B9"/>
    <w:rsid w:val="001C7217"/>
    <w:rsid w:val="001D6B77"/>
    <w:rsid w:val="001E13F2"/>
    <w:rsid w:val="001E195F"/>
    <w:rsid w:val="001E1EB1"/>
    <w:rsid w:val="001E2E2B"/>
    <w:rsid w:val="001E34CA"/>
    <w:rsid w:val="001E6BAB"/>
    <w:rsid w:val="001F5B3B"/>
    <w:rsid w:val="00206D14"/>
    <w:rsid w:val="002102CE"/>
    <w:rsid w:val="00212874"/>
    <w:rsid w:val="0021480D"/>
    <w:rsid w:val="00214AEF"/>
    <w:rsid w:val="0022009B"/>
    <w:rsid w:val="00223EEA"/>
    <w:rsid w:val="0022455C"/>
    <w:rsid w:val="00226700"/>
    <w:rsid w:val="002322F2"/>
    <w:rsid w:val="002348E0"/>
    <w:rsid w:val="00234DA7"/>
    <w:rsid w:val="002376E2"/>
    <w:rsid w:val="00237706"/>
    <w:rsid w:val="002403AB"/>
    <w:rsid w:val="00244355"/>
    <w:rsid w:val="00245559"/>
    <w:rsid w:val="00247C00"/>
    <w:rsid w:val="00256772"/>
    <w:rsid w:val="0026003C"/>
    <w:rsid w:val="0026052C"/>
    <w:rsid w:val="0027095E"/>
    <w:rsid w:val="00271005"/>
    <w:rsid w:val="00276B53"/>
    <w:rsid w:val="00276B78"/>
    <w:rsid w:val="00277308"/>
    <w:rsid w:val="00281075"/>
    <w:rsid w:val="00291669"/>
    <w:rsid w:val="00295393"/>
    <w:rsid w:val="0029557A"/>
    <w:rsid w:val="002962C8"/>
    <w:rsid w:val="002966C3"/>
    <w:rsid w:val="00297FE1"/>
    <w:rsid w:val="002A2649"/>
    <w:rsid w:val="002A3EB8"/>
    <w:rsid w:val="002A6EDF"/>
    <w:rsid w:val="002B1488"/>
    <w:rsid w:val="002C0C2C"/>
    <w:rsid w:val="002C1C54"/>
    <w:rsid w:val="002C2629"/>
    <w:rsid w:val="002C277E"/>
    <w:rsid w:val="002C53D4"/>
    <w:rsid w:val="002D6404"/>
    <w:rsid w:val="002E0BF6"/>
    <w:rsid w:val="002E1E18"/>
    <w:rsid w:val="002E611F"/>
    <w:rsid w:val="002F4251"/>
    <w:rsid w:val="002F74E3"/>
    <w:rsid w:val="00314805"/>
    <w:rsid w:val="003328DC"/>
    <w:rsid w:val="003363B4"/>
    <w:rsid w:val="00347C23"/>
    <w:rsid w:val="00351638"/>
    <w:rsid w:val="00351816"/>
    <w:rsid w:val="00354F3E"/>
    <w:rsid w:val="003557C8"/>
    <w:rsid w:val="00360224"/>
    <w:rsid w:val="00362E68"/>
    <w:rsid w:val="003637E7"/>
    <w:rsid w:val="00364E7A"/>
    <w:rsid w:val="00364FA3"/>
    <w:rsid w:val="00366A2A"/>
    <w:rsid w:val="0036767B"/>
    <w:rsid w:val="00367CED"/>
    <w:rsid w:val="003751FB"/>
    <w:rsid w:val="003849CB"/>
    <w:rsid w:val="0038773D"/>
    <w:rsid w:val="00390A62"/>
    <w:rsid w:val="003914AA"/>
    <w:rsid w:val="00392A39"/>
    <w:rsid w:val="0039393A"/>
    <w:rsid w:val="003A0D2F"/>
    <w:rsid w:val="003A1778"/>
    <w:rsid w:val="003A2777"/>
    <w:rsid w:val="003B564D"/>
    <w:rsid w:val="003B7351"/>
    <w:rsid w:val="003C0A39"/>
    <w:rsid w:val="003C10E1"/>
    <w:rsid w:val="003C196D"/>
    <w:rsid w:val="003C4167"/>
    <w:rsid w:val="003C4A14"/>
    <w:rsid w:val="003D3281"/>
    <w:rsid w:val="003E12A5"/>
    <w:rsid w:val="003E4571"/>
    <w:rsid w:val="003E6707"/>
    <w:rsid w:val="003F0575"/>
    <w:rsid w:val="003F0882"/>
    <w:rsid w:val="003F1D64"/>
    <w:rsid w:val="003F41B0"/>
    <w:rsid w:val="00406499"/>
    <w:rsid w:val="00411AC4"/>
    <w:rsid w:val="00412731"/>
    <w:rsid w:val="0042338A"/>
    <w:rsid w:val="00423AED"/>
    <w:rsid w:val="00427705"/>
    <w:rsid w:val="004318CD"/>
    <w:rsid w:val="004327E9"/>
    <w:rsid w:val="00434357"/>
    <w:rsid w:val="0043620F"/>
    <w:rsid w:val="004411FB"/>
    <w:rsid w:val="00441BE7"/>
    <w:rsid w:val="004467B2"/>
    <w:rsid w:val="0045415C"/>
    <w:rsid w:val="00455828"/>
    <w:rsid w:val="004563FA"/>
    <w:rsid w:val="0046046D"/>
    <w:rsid w:val="004607ED"/>
    <w:rsid w:val="00461B4E"/>
    <w:rsid w:val="004633BE"/>
    <w:rsid w:val="00463AD6"/>
    <w:rsid w:val="00464B51"/>
    <w:rsid w:val="004711C6"/>
    <w:rsid w:val="004752C7"/>
    <w:rsid w:val="00477557"/>
    <w:rsid w:val="00486C89"/>
    <w:rsid w:val="00492387"/>
    <w:rsid w:val="00492BFC"/>
    <w:rsid w:val="00495620"/>
    <w:rsid w:val="004A1207"/>
    <w:rsid w:val="004A17CB"/>
    <w:rsid w:val="004A7ADA"/>
    <w:rsid w:val="004C041B"/>
    <w:rsid w:val="004C08F5"/>
    <w:rsid w:val="004C133A"/>
    <w:rsid w:val="004C3D0B"/>
    <w:rsid w:val="004C51FA"/>
    <w:rsid w:val="004D11D0"/>
    <w:rsid w:val="004D4632"/>
    <w:rsid w:val="004E2E8A"/>
    <w:rsid w:val="004F0C53"/>
    <w:rsid w:val="00501963"/>
    <w:rsid w:val="005042AF"/>
    <w:rsid w:val="00504816"/>
    <w:rsid w:val="00504D24"/>
    <w:rsid w:val="00507E14"/>
    <w:rsid w:val="0051117C"/>
    <w:rsid w:val="00513EEF"/>
    <w:rsid w:val="005155DC"/>
    <w:rsid w:val="005218A0"/>
    <w:rsid w:val="00523A3C"/>
    <w:rsid w:val="005249ED"/>
    <w:rsid w:val="00525245"/>
    <w:rsid w:val="005260E6"/>
    <w:rsid w:val="0052752D"/>
    <w:rsid w:val="00530057"/>
    <w:rsid w:val="005310EE"/>
    <w:rsid w:val="00534218"/>
    <w:rsid w:val="005343DE"/>
    <w:rsid w:val="00536E57"/>
    <w:rsid w:val="00537C14"/>
    <w:rsid w:val="00545A11"/>
    <w:rsid w:val="00546CC3"/>
    <w:rsid w:val="00554252"/>
    <w:rsid w:val="00570D7E"/>
    <w:rsid w:val="005715B6"/>
    <w:rsid w:val="00580B1C"/>
    <w:rsid w:val="0058110D"/>
    <w:rsid w:val="005819FF"/>
    <w:rsid w:val="00585021"/>
    <w:rsid w:val="005852D4"/>
    <w:rsid w:val="005923CE"/>
    <w:rsid w:val="005A4A45"/>
    <w:rsid w:val="005B2475"/>
    <w:rsid w:val="005B288F"/>
    <w:rsid w:val="005B3449"/>
    <w:rsid w:val="005B5CB0"/>
    <w:rsid w:val="005C4172"/>
    <w:rsid w:val="005D2577"/>
    <w:rsid w:val="005E1EDA"/>
    <w:rsid w:val="005E6988"/>
    <w:rsid w:val="005F0A57"/>
    <w:rsid w:val="005F3E6E"/>
    <w:rsid w:val="005F4571"/>
    <w:rsid w:val="005F53C6"/>
    <w:rsid w:val="005F540B"/>
    <w:rsid w:val="005F758C"/>
    <w:rsid w:val="00600F28"/>
    <w:rsid w:val="00602C72"/>
    <w:rsid w:val="0060498A"/>
    <w:rsid w:val="006135B3"/>
    <w:rsid w:val="006211AA"/>
    <w:rsid w:val="0062142E"/>
    <w:rsid w:val="00622422"/>
    <w:rsid w:val="0062594C"/>
    <w:rsid w:val="0063054C"/>
    <w:rsid w:val="006313C8"/>
    <w:rsid w:val="00632152"/>
    <w:rsid w:val="006365C2"/>
    <w:rsid w:val="00640500"/>
    <w:rsid w:val="00641921"/>
    <w:rsid w:val="0065019E"/>
    <w:rsid w:val="006504DB"/>
    <w:rsid w:val="006626D3"/>
    <w:rsid w:val="00662705"/>
    <w:rsid w:val="006648B6"/>
    <w:rsid w:val="00676F95"/>
    <w:rsid w:val="00680824"/>
    <w:rsid w:val="006850A1"/>
    <w:rsid w:val="00685A51"/>
    <w:rsid w:val="006940F5"/>
    <w:rsid w:val="006A0750"/>
    <w:rsid w:val="006A4613"/>
    <w:rsid w:val="006A56B0"/>
    <w:rsid w:val="006A6102"/>
    <w:rsid w:val="006C4315"/>
    <w:rsid w:val="006C4B08"/>
    <w:rsid w:val="006D6195"/>
    <w:rsid w:val="006E48A5"/>
    <w:rsid w:val="00700B4C"/>
    <w:rsid w:val="0071010B"/>
    <w:rsid w:val="00712FA9"/>
    <w:rsid w:val="00713FF6"/>
    <w:rsid w:val="007146AB"/>
    <w:rsid w:val="00716692"/>
    <w:rsid w:val="007166F1"/>
    <w:rsid w:val="00720D58"/>
    <w:rsid w:val="00723CC2"/>
    <w:rsid w:val="00724386"/>
    <w:rsid w:val="007309C4"/>
    <w:rsid w:val="00736BAE"/>
    <w:rsid w:val="0074040B"/>
    <w:rsid w:val="00742790"/>
    <w:rsid w:val="00746FCE"/>
    <w:rsid w:val="00755678"/>
    <w:rsid w:val="00763E9F"/>
    <w:rsid w:val="00766F70"/>
    <w:rsid w:val="007675C2"/>
    <w:rsid w:val="0077364E"/>
    <w:rsid w:val="00782091"/>
    <w:rsid w:val="00792EE6"/>
    <w:rsid w:val="00793DB0"/>
    <w:rsid w:val="0079546F"/>
    <w:rsid w:val="007A2013"/>
    <w:rsid w:val="007A2319"/>
    <w:rsid w:val="007A2D81"/>
    <w:rsid w:val="007A6A35"/>
    <w:rsid w:val="007B1327"/>
    <w:rsid w:val="007B13C9"/>
    <w:rsid w:val="007C02D4"/>
    <w:rsid w:val="007C1D50"/>
    <w:rsid w:val="007C42F8"/>
    <w:rsid w:val="007C4AF2"/>
    <w:rsid w:val="007C4D61"/>
    <w:rsid w:val="007C4ECF"/>
    <w:rsid w:val="007C558C"/>
    <w:rsid w:val="007C674B"/>
    <w:rsid w:val="007D02B5"/>
    <w:rsid w:val="007D15BE"/>
    <w:rsid w:val="007D5006"/>
    <w:rsid w:val="007D62B7"/>
    <w:rsid w:val="007D64FD"/>
    <w:rsid w:val="007D6537"/>
    <w:rsid w:val="007D6BF4"/>
    <w:rsid w:val="007E1C81"/>
    <w:rsid w:val="007E519E"/>
    <w:rsid w:val="007E54CC"/>
    <w:rsid w:val="007F6094"/>
    <w:rsid w:val="00800379"/>
    <w:rsid w:val="00803BFF"/>
    <w:rsid w:val="00805A94"/>
    <w:rsid w:val="00805E61"/>
    <w:rsid w:val="0081396B"/>
    <w:rsid w:val="0081540F"/>
    <w:rsid w:val="0082122D"/>
    <w:rsid w:val="00822D71"/>
    <w:rsid w:val="00824463"/>
    <w:rsid w:val="00825614"/>
    <w:rsid w:val="008306A8"/>
    <w:rsid w:val="008306E4"/>
    <w:rsid w:val="00831BF0"/>
    <w:rsid w:val="00847DF1"/>
    <w:rsid w:val="00850904"/>
    <w:rsid w:val="0085221C"/>
    <w:rsid w:val="008531A8"/>
    <w:rsid w:val="008535D0"/>
    <w:rsid w:val="0086164B"/>
    <w:rsid w:val="00861D88"/>
    <w:rsid w:val="00861F51"/>
    <w:rsid w:val="00862D00"/>
    <w:rsid w:val="00866FB3"/>
    <w:rsid w:val="008674C0"/>
    <w:rsid w:val="0086766C"/>
    <w:rsid w:val="00875B38"/>
    <w:rsid w:val="00880856"/>
    <w:rsid w:val="00881C98"/>
    <w:rsid w:val="008831AA"/>
    <w:rsid w:val="008839B2"/>
    <w:rsid w:val="00887F59"/>
    <w:rsid w:val="00892C4E"/>
    <w:rsid w:val="0089385E"/>
    <w:rsid w:val="00896163"/>
    <w:rsid w:val="008A3AF4"/>
    <w:rsid w:val="008A5A61"/>
    <w:rsid w:val="008A7F78"/>
    <w:rsid w:val="008B2DDA"/>
    <w:rsid w:val="008B7722"/>
    <w:rsid w:val="008C06BD"/>
    <w:rsid w:val="008C1D6A"/>
    <w:rsid w:val="008C36E6"/>
    <w:rsid w:val="008C7523"/>
    <w:rsid w:val="008D2543"/>
    <w:rsid w:val="008E3CE1"/>
    <w:rsid w:val="008E4557"/>
    <w:rsid w:val="008E5BF3"/>
    <w:rsid w:val="008F6645"/>
    <w:rsid w:val="00912FE0"/>
    <w:rsid w:val="0091620A"/>
    <w:rsid w:val="009208CB"/>
    <w:rsid w:val="00922CE2"/>
    <w:rsid w:val="00923DE5"/>
    <w:rsid w:val="00924B8D"/>
    <w:rsid w:val="00930929"/>
    <w:rsid w:val="00931B8F"/>
    <w:rsid w:val="009330BD"/>
    <w:rsid w:val="0093479F"/>
    <w:rsid w:val="0095067A"/>
    <w:rsid w:val="0096211C"/>
    <w:rsid w:val="00970886"/>
    <w:rsid w:val="009768B2"/>
    <w:rsid w:val="00976DF3"/>
    <w:rsid w:val="00980398"/>
    <w:rsid w:val="00980928"/>
    <w:rsid w:val="00986A6C"/>
    <w:rsid w:val="00991AC6"/>
    <w:rsid w:val="00994039"/>
    <w:rsid w:val="009A17DF"/>
    <w:rsid w:val="009A2257"/>
    <w:rsid w:val="009A31FE"/>
    <w:rsid w:val="009A3F07"/>
    <w:rsid w:val="009A49C0"/>
    <w:rsid w:val="009A4E03"/>
    <w:rsid w:val="009A59AE"/>
    <w:rsid w:val="009B16D1"/>
    <w:rsid w:val="009B7BE0"/>
    <w:rsid w:val="009C098C"/>
    <w:rsid w:val="009D1A85"/>
    <w:rsid w:val="009D454B"/>
    <w:rsid w:val="009D5356"/>
    <w:rsid w:val="009D55B0"/>
    <w:rsid w:val="009D7615"/>
    <w:rsid w:val="009E1FC6"/>
    <w:rsid w:val="009F2CE3"/>
    <w:rsid w:val="009F46A6"/>
    <w:rsid w:val="009F59AB"/>
    <w:rsid w:val="009F59BA"/>
    <w:rsid w:val="00A00132"/>
    <w:rsid w:val="00A057C5"/>
    <w:rsid w:val="00A1097F"/>
    <w:rsid w:val="00A11A53"/>
    <w:rsid w:val="00A20404"/>
    <w:rsid w:val="00A20F6F"/>
    <w:rsid w:val="00A2569C"/>
    <w:rsid w:val="00A30DD7"/>
    <w:rsid w:val="00A34156"/>
    <w:rsid w:val="00A413FA"/>
    <w:rsid w:val="00A441F4"/>
    <w:rsid w:val="00A45F9A"/>
    <w:rsid w:val="00A479A9"/>
    <w:rsid w:val="00A53EFE"/>
    <w:rsid w:val="00A54896"/>
    <w:rsid w:val="00A66B5F"/>
    <w:rsid w:val="00A70C90"/>
    <w:rsid w:val="00A72331"/>
    <w:rsid w:val="00A729A1"/>
    <w:rsid w:val="00A7395A"/>
    <w:rsid w:val="00A76ECD"/>
    <w:rsid w:val="00A82703"/>
    <w:rsid w:val="00A84291"/>
    <w:rsid w:val="00A84A74"/>
    <w:rsid w:val="00A85458"/>
    <w:rsid w:val="00A854A1"/>
    <w:rsid w:val="00A9299B"/>
    <w:rsid w:val="00AA1B5A"/>
    <w:rsid w:val="00AA51BD"/>
    <w:rsid w:val="00AB03B1"/>
    <w:rsid w:val="00AB0E1B"/>
    <w:rsid w:val="00AB1917"/>
    <w:rsid w:val="00AB65F6"/>
    <w:rsid w:val="00AB71A3"/>
    <w:rsid w:val="00AB7E23"/>
    <w:rsid w:val="00AC1CED"/>
    <w:rsid w:val="00AC42C8"/>
    <w:rsid w:val="00AC6F05"/>
    <w:rsid w:val="00AD25C9"/>
    <w:rsid w:val="00AD75CD"/>
    <w:rsid w:val="00AE41C7"/>
    <w:rsid w:val="00AE7942"/>
    <w:rsid w:val="00AF2684"/>
    <w:rsid w:val="00B003B3"/>
    <w:rsid w:val="00B04012"/>
    <w:rsid w:val="00B04D0C"/>
    <w:rsid w:val="00B052C8"/>
    <w:rsid w:val="00B06283"/>
    <w:rsid w:val="00B11DD1"/>
    <w:rsid w:val="00B17AA9"/>
    <w:rsid w:val="00B305AA"/>
    <w:rsid w:val="00B30B64"/>
    <w:rsid w:val="00B32D42"/>
    <w:rsid w:val="00B37D92"/>
    <w:rsid w:val="00B414EE"/>
    <w:rsid w:val="00B462C4"/>
    <w:rsid w:val="00B53126"/>
    <w:rsid w:val="00B54B7B"/>
    <w:rsid w:val="00B5580A"/>
    <w:rsid w:val="00B57C97"/>
    <w:rsid w:val="00B63DE6"/>
    <w:rsid w:val="00B75C22"/>
    <w:rsid w:val="00B77F93"/>
    <w:rsid w:val="00B818D4"/>
    <w:rsid w:val="00B86415"/>
    <w:rsid w:val="00B87029"/>
    <w:rsid w:val="00B94B5C"/>
    <w:rsid w:val="00BA1C6F"/>
    <w:rsid w:val="00BA5FFD"/>
    <w:rsid w:val="00BB4600"/>
    <w:rsid w:val="00BC136C"/>
    <w:rsid w:val="00BC4FF8"/>
    <w:rsid w:val="00BC712E"/>
    <w:rsid w:val="00BD4256"/>
    <w:rsid w:val="00BD57CF"/>
    <w:rsid w:val="00BE1D3E"/>
    <w:rsid w:val="00BF3073"/>
    <w:rsid w:val="00BF3A51"/>
    <w:rsid w:val="00BF5C39"/>
    <w:rsid w:val="00C0477D"/>
    <w:rsid w:val="00C11821"/>
    <w:rsid w:val="00C12699"/>
    <w:rsid w:val="00C205CF"/>
    <w:rsid w:val="00C20AD6"/>
    <w:rsid w:val="00C20C22"/>
    <w:rsid w:val="00C21200"/>
    <w:rsid w:val="00C225B5"/>
    <w:rsid w:val="00C25D59"/>
    <w:rsid w:val="00C273D3"/>
    <w:rsid w:val="00C30036"/>
    <w:rsid w:val="00C30EF7"/>
    <w:rsid w:val="00C4333C"/>
    <w:rsid w:val="00C44F2F"/>
    <w:rsid w:val="00C47AF2"/>
    <w:rsid w:val="00C5306C"/>
    <w:rsid w:val="00C5772C"/>
    <w:rsid w:val="00C6209B"/>
    <w:rsid w:val="00C64841"/>
    <w:rsid w:val="00C80921"/>
    <w:rsid w:val="00C8705F"/>
    <w:rsid w:val="00C87E9C"/>
    <w:rsid w:val="00C9240E"/>
    <w:rsid w:val="00C927B6"/>
    <w:rsid w:val="00C92C5C"/>
    <w:rsid w:val="00C93CC1"/>
    <w:rsid w:val="00C96278"/>
    <w:rsid w:val="00CA1D04"/>
    <w:rsid w:val="00CA2937"/>
    <w:rsid w:val="00CA465F"/>
    <w:rsid w:val="00CA4CB5"/>
    <w:rsid w:val="00CB4627"/>
    <w:rsid w:val="00CB71BA"/>
    <w:rsid w:val="00CD14AE"/>
    <w:rsid w:val="00CD262A"/>
    <w:rsid w:val="00CE1DFB"/>
    <w:rsid w:val="00CE57D6"/>
    <w:rsid w:val="00CE7CE3"/>
    <w:rsid w:val="00CF072A"/>
    <w:rsid w:val="00D01828"/>
    <w:rsid w:val="00D0259C"/>
    <w:rsid w:val="00D03256"/>
    <w:rsid w:val="00D171F7"/>
    <w:rsid w:val="00D2033E"/>
    <w:rsid w:val="00D21DBD"/>
    <w:rsid w:val="00D30827"/>
    <w:rsid w:val="00D32552"/>
    <w:rsid w:val="00D33031"/>
    <w:rsid w:val="00D34666"/>
    <w:rsid w:val="00D42BD6"/>
    <w:rsid w:val="00D43669"/>
    <w:rsid w:val="00D46A9B"/>
    <w:rsid w:val="00D474B5"/>
    <w:rsid w:val="00D52C1E"/>
    <w:rsid w:val="00D55EE1"/>
    <w:rsid w:val="00D564AE"/>
    <w:rsid w:val="00D5748C"/>
    <w:rsid w:val="00D578FC"/>
    <w:rsid w:val="00D63E56"/>
    <w:rsid w:val="00D76427"/>
    <w:rsid w:val="00D804F8"/>
    <w:rsid w:val="00D817F8"/>
    <w:rsid w:val="00D8362B"/>
    <w:rsid w:val="00D9271B"/>
    <w:rsid w:val="00D927D4"/>
    <w:rsid w:val="00D9702B"/>
    <w:rsid w:val="00DA006A"/>
    <w:rsid w:val="00DA2931"/>
    <w:rsid w:val="00DA6C60"/>
    <w:rsid w:val="00DB7E62"/>
    <w:rsid w:val="00DC18EC"/>
    <w:rsid w:val="00DC306E"/>
    <w:rsid w:val="00DC30FF"/>
    <w:rsid w:val="00DC5052"/>
    <w:rsid w:val="00DE1835"/>
    <w:rsid w:val="00DE2102"/>
    <w:rsid w:val="00DE35CF"/>
    <w:rsid w:val="00DE4AD7"/>
    <w:rsid w:val="00DF0241"/>
    <w:rsid w:val="00DF1D47"/>
    <w:rsid w:val="00E00AC4"/>
    <w:rsid w:val="00E011B8"/>
    <w:rsid w:val="00E05EB4"/>
    <w:rsid w:val="00E1055E"/>
    <w:rsid w:val="00E219CE"/>
    <w:rsid w:val="00E23AFF"/>
    <w:rsid w:val="00E31A1A"/>
    <w:rsid w:val="00E32518"/>
    <w:rsid w:val="00E33ACC"/>
    <w:rsid w:val="00E33B97"/>
    <w:rsid w:val="00E34330"/>
    <w:rsid w:val="00E41595"/>
    <w:rsid w:val="00E4614A"/>
    <w:rsid w:val="00E5070D"/>
    <w:rsid w:val="00E5263A"/>
    <w:rsid w:val="00E53E3D"/>
    <w:rsid w:val="00E55224"/>
    <w:rsid w:val="00E56164"/>
    <w:rsid w:val="00E632FB"/>
    <w:rsid w:val="00E6654B"/>
    <w:rsid w:val="00E719B7"/>
    <w:rsid w:val="00E7387A"/>
    <w:rsid w:val="00E75EAF"/>
    <w:rsid w:val="00E91346"/>
    <w:rsid w:val="00EA1099"/>
    <w:rsid w:val="00EA355F"/>
    <w:rsid w:val="00EA4015"/>
    <w:rsid w:val="00EA41AF"/>
    <w:rsid w:val="00EA4DC1"/>
    <w:rsid w:val="00EB00F8"/>
    <w:rsid w:val="00EB1E24"/>
    <w:rsid w:val="00EB2875"/>
    <w:rsid w:val="00EB4725"/>
    <w:rsid w:val="00EB64F1"/>
    <w:rsid w:val="00EC33CD"/>
    <w:rsid w:val="00EC3621"/>
    <w:rsid w:val="00EE63B6"/>
    <w:rsid w:val="00EE6646"/>
    <w:rsid w:val="00EE7827"/>
    <w:rsid w:val="00EF1CAF"/>
    <w:rsid w:val="00EF4CA7"/>
    <w:rsid w:val="00F04EB1"/>
    <w:rsid w:val="00F05FD3"/>
    <w:rsid w:val="00F1297C"/>
    <w:rsid w:val="00F136C4"/>
    <w:rsid w:val="00F1378D"/>
    <w:rsid w:val="00F13D9B"/>
    <w:rsid w:val="00F22687"/>
    <w:rsid w:val="00F23B5E"/>
    <w:rsid w:val="00F23ED5"/>
    <w:rsid w:val="00F241A5"/>
    <w:rsid w:val="00F24D06"/>
    <w:rsid w:val="00F31204"/>
    <w:rsid w:val="00F31628"/>
    <w:rsid w:val="00F31845"/>
    <w:rsid w:val="00F32C9D"/>
    <w:rsid w:val="00F36C27"/>
    <w:rsid w:val="00F36DC2"/>
    <w:rsid w:val="00F3710D"/>
    <w:rsid w:val="00F40DBD"/>
    <w:rsid w:val="00F42288"/>
    <w:rsid w:val="00F542C2"/>
    <w:rsid w:val="00F573BF"/>
    <w:rsid w:val="00F61304"/>
    <w:rsid w:val="00F63248"/>
    <w:rsid w:val="00F6443B"/>
    <w:rsid w:val="00F731DF"/>
    <w:rsid w:val="00F74A55"/>
    <w:rsid w:val="00F75FE3"/>
    <w:rsid w:val="00F82C51"/>
    <w:rsid w:val="00F9411B"/>
    <w:rsid w:val="00F9453E"/>
    <w:rsid w:val="00F94D94"/>
    <w:rsid w:val="00F97C93"/>
    <w:rsid w:val="00F97D83"/>
    <w:rsid w:val="00FA7200"/>
    <w:rsid w:val="00FB1246"/>
    <w:rsid w:val="00FB377E"/>
    <w:rsid w:val="00FB4285"/>
    <w:rsid w:val="00FB43B7"/>
    <w:rsid w:val="00FB5E9A"/>
    <w:rsid w:val="00FC567E"/>
    <w:rsid w:val="00FC6AEE"/>
    <w:rsid w:val="00FD054D"/>
    <w:rsid w:val="00FE17CE"/>
    <w:rsid w:val="00FF0B94"/>
    <w:rsid w:val="00FF10B3"/>
    <w:rsid w:val="00FF1A0F"/>
    <w:rsid w:val="00FF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49FA72"/>
  <w15:chartTrackingRefBased/>
  <w15:docId w15:val="{AF52A4B6-465E-4644-B96C-7D57B1B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1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518"/>
    <w:pPr>
      <w:tabs>
        <w:tab w:val="center" w:pos="4320"/>
        <w:tab w:val="right" w:pos="8640"/>
      </w:tabs>
    </w:pPr>
  </w:style>
  <w:style w:type="character" w:customStyle="1" w:styleId="FooterChar">
    <w:name w:val="Footer Char"/>
    <w:basedOn w:val="DefaultParagraphFont"/>
    <w:link w:val="Footer"/>
    <w:uiPriority w:val="99"/>
    <w:rsid w:val="00E32518"/>
    <w:rPr>
      <w:rFonts w:ascii="Arial" w:hAnsi="Arial"/>
      <w:sz w:val="24"/>
      <w:szCs w:val="24"/>
    </w:rPr>
  </w:style>
  <w:style w:type="paragraph" w:styleId="ListParagraph">
    <w:name w:val="List Paragraph"/>
    <w:basedOn w:val="Normal"/>
    <w:uiPriority w:val="1"/>
    <w:qFormat/>
    <w:rsid w:val="00E32518"/>
    <w:pPr>
      <w:ind w:left="720"/>
      <w:contextualSpacing/>
    </w:pPr>
    <w:rPr>
      <w:rFonts w:ascii="Courier" w:hAnsi="Courier"/>
      <w:sz w:val="20"/>
      <w:szCs w:val="20"/>
    </w:rPr>
  </w:style>
  <w:style w:type="paragraph" w:styleId="Header">
    <w:name w:val="header"/>
    <w:basedOn w:val="Normal"/>
    <w:link w:val="HeaderChar"/>
    <w:unhideWhenUsed/>
    <w:rsid w:val="00E32518"/>
    <w:pPr>
      <w:tabs>
        <w:tab w:val="center" w:pos="4680"/>
        <w:tab w:val="right" w:pos="9360"/>
      </w:tabs>
    </w:pPr>
  </w:style>
  <w:style w:type="character" w:customStyle="1" w:styleId="HeaderChar">
    <w:name w:val="Header Char"/>
    <w:basedOn w:val="DefaultParagraphFont"/>
    <w:link w:val="Header"/>
    <w:rsid w:val="00E32518"/>
    <w:rPr>
      <w:rFonts w:ascii="Arial" w:hAnsi="Arial"/>
      <w:sz w:val="24"/>
      <w:szCs w:val="24"/>
    </w:rPr>
  </w:style>
  <w:style w:type="character" w:styleId="CommentReference">
    <w:name w:val="annotation reference"/>
    <w:basedOn w:val="DefaultParagraphFont"/>
    <w:semiHidden/>
    <w:unhideWhenUsed/>
    <w:rsid w:val="00831BF0"/>
    <w:rPr>
      <w:sz w:val="16"/>
      <w:szCs w:val="16"/>
    </w:rPr>
  </w:style>
  <w:style w:type="paragraph" w:styleId="CommentText">
    <w:name w:val="annotation text"/>
    <w:basedOn w:val="Normal"/>
    <w:link w:val="CommentTextChar"/>
    <w:unhideWhenUsed/>
    <w:rsid w:val="00831BF0"/>
    <w:rPr>
      <w:sz w:val="20"/>
      <w:szCs w:val="20"/>
    </w:rPr>
  </w:style>
  <w:style w:type="character" w:customStyle="1" w:styleId="CommentTextChar">
    <w:name w:val="Comment Text Char"/>
    <w:basedOn w:val="DefaultParagraphFont"/>
    <w:link w:val="CommentText"/>
    <w:rsid w:val="00831BF0"/>
    <w:rPr>
      <w:rFonts w:ascii="Arial" w:hAnsi="Arial"/>
    </w:rPr>
  </w:style>
  <w:style w:type="paragraph" w:styleId="CommentSubject">
    <w:name w:val="annotation subject"/>
    <w:basedOn w:val="CommentText"/>
    <w:next w:val="CommentText"/>
    <w:link w:val="CommentSubjectChar"/>
    <w:semiHidden/>
    <w:unhideWhenUsed/>
    <w:rsid w:val="00831BF0"/>
    <w:rPr>
      <w:b/>
      <w:bCs/>
    </w:rPr>
  </w:style>
  <w:style w:type="character" w:customStyle="1" w:styleId="CommentSubjectChar">
    <w:name w:val="Comment Subject Char"/>
    <w:basedOn w:val="CommentTextChar"/>
    <w:link w:val="CommentSubject"/>
    <w:semiHidden/>
    <w:rsid w:val="00831BF0"/>
    <w:rPr>
      <w:rFonts w:ascii="Arial" w:hAnsi="Arial"/>
      <w:b/>
      <w:bCs/>
    </w:rPr>
  </w:style>
  <w:style w:type="paragraph" w:styleId="BalloonText">
    <w:name w:val="Balloon Text"/>
    <w:basedOn w:val="Normal"/>
    <w:link w:val="BalloonTextChar"/>
    <w:semiHidden/>
    <w:unhideWhenUsed/>
    <w:rsid w:val="00831BF0"/>
    <w:rPr>
      <w:rFonts w:ascii="Segoe UI" w:hAnsi="Segoe UI" w:cs="Segoe UI"/>
      <w:sz w:val="18"/>
      <w:szCs w:val="18"/>
    </w:rPr>
  </w:style>
  <w:style w:type="character" w:customStyle="1" w:styleId="BalloonTextChar">
    <w:name w:val="Balloon Text Char"/>
    <w:basedOn w:val="DefaultParagraphFont"/>
    <w:link w:val="BalloonText"/>
    <w:semiHidden/>
    <w:rsid w:val="00831BF0"/>
    <w:rPr>
      <w:rFonts w:ascii="Segoe UI" w:hAnsi="Segoe UI" w:cs="Segoe UI"/>
      <w:sz w:val="18"/>
      <w:szCs w:val="18"/>
    </w:rPr>
  </w:style>
  <w:style w:type="character" w:customStyle="1" w:styleId="text">
    <w:name w:val="text"/>
    <w:basedOn w:val="DefaultParagraphFont"/>
    <w:rsid w:val="00137E27"/>
  </w:style>
  <w:style w:type="character" w:styleId="Hyperlink">
    <w:name w:val="Hyperlink"/>
    <w:basedOn w:val="DefaultParagraphFont"/>
    <w:unhideWhenUsed/>
    <w:rsid w:val="009A31FE"/>
    <w:rPr>
      <w:color w:val="0000FF" w:themeColor="hyperlink"/>
      <w:u w:val="single"/>
    </w:rPr>
  </w:style>
  <w:style w:type="character" w:styleId="UnresolvedMention">
    <w:name w:val="Unresolved Mention"/>
    <w:basedOn w:val="DefaultParagraphFont"/>
    <w:uiPriority w:val="99"/>
    <w:semiHidden/>
    <w:unhideWhenUsed/>
    <w:rsid w:val="009A31FE"/>
    <w:rPr>
      <w:color w:val="605E5C"/>
      <w:shd w:val="clear" w:color="auto" w:fill="E1DFDD"/>
    </w:rPr>
  </w:style>
  <w:style w:type="paragraph" w:styleId="Revision">
    <w:name w:val="Revision"/>
    <w:hidden/>
    <w:uiPriority w:val="99"/>
    <w:semiHidden/>
    <w:rsid w:val="00713FF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9290">
      <w:bodyDiv w:val="1"/>
      <w:marLeft w:val="0"/>
      <w:marRight w:val="0"/>
      <w:marTop w:val="0"/>
      <w:marBottom w:val="0"/>
      <w:divBdr>
        <w:top w:val="none" w:sz="0" w:space="0" w:color="auto"/>
        <w:left w:val="none" w:sz="0" w:space="0" w:color="auto"/>
        <w:bottom w:val="none" w:sz="0" w:space="0" w:color="auto"/>
        <w:right w:val="none" w:sz="0" w:space="0" w:color="auto"/>
      </w:divBdr>
    </w:div>
    <w:div w:id="945575007">
      <w:bodyDiv w:val="1"/>
      <w:marLeft w:val="0"/>
      <w:marRight w:val="0"/>
      <w:marTop w:val="0"/>
      <w:marBottom w:val="0"/>
      <w:divBdr>
        <w:top w:val="none" w:sz="0" w:space="0" w:color="auto"/>
        <w:left w:val="none" w:sz="0" w:space="0" w:color="auto"/>
        <w:bottom w:val="none" w:sz="0" w:space="0" w:color="auto"/>
        <w:right w:val="none" w:sz="0" w:space="0" w:color="auto"/>
      </w:divBdr>
    </w:div>
    <w:div w:id="1098715316">
      <w:bodyDiv w:val="1"/>
      <w:marLeft w:val="0"/>
      <w:marRight w:val="0"/>
      <w:marTop w:val="0"/>
      <w:marBottom w:val="0"/>
      <w:divBdr>
        <w:top w:val="none" w:sz="0" w:space="0" w:color="auto"/>
        <w:left w:val="none" w:sz="0" w:space="0" w:color="auto"/>
        <w:bottom w:val="none" w:sz="0" w:space="0" w:color="auto"/>
        <w:right w:val="none" w:sz="0" w:space="0" w:color="auto"/>
      </w:divBdr>
    </w:div>
    <w:div w:id="1206452319">
      <w:bodyDiv w:val="1"/>
      <w:marLeft w:val="0"/>
      <w:marRight w:val="0"/>
      <w:marTop w:val="0"/>
      <w:marBottom w:val="0"/>
      <w:divBdr>
        <w:top w:val="none" w:sz="0" w:space="0" w:color="auto"/>
        <w:left w:val="none" w:sz="0" w:space="0" w:color="auto"/>
        <w:bottom w:val="none" w:sz="0" w:space="0" w:color="auto"/>
        <w:right w:val="none" w:sz="0" w:space="0" w:color="auto"/>
      </w:divBdr>
    </w:div>
    <w:div w:id="1874533500">
      <w:bodyDiv w:val="1"/>
      <w:marLeft w:val="0"/>
      <w:marRight w:val="0"/>
      <w:marTop w:val="0"/>
      <w:marBottom w:val="0"/>
      <w:divBdr>
        <w:top w:val="none" w:sz="0" w:space="0" w:color="auto"/>
        <w:left w:val="none" w:sz="0" w:space="0" w:color="auto"/>
        <w:bottom w:val="none" w:sz="0" w:space="0" w:color="auto"/>
        <w:right w:val="none" w:sz="0" w:space="0" w:color="auto"/>
      </w:divBdr>
    </w:div>
    <w:div w:id="1951542399">
      <w:bodyDiv w:val="1"/>
      <w:marLeft w:val="0"/>
      <w:marRight w:val="0"/>
      <w:marTop w:val="0"/>
      <w:marBottom w:val="0"/>
      <w:divBdr>
        <w:top w:val="none" w:sz="0" w:space="0" w:color="auto"/>
        <w:left w:val="none" w:sz="0" w:space="0" w:color="auto"/>
        <w:bottom w:val="none" w:sz="0" w:space="0" w:color="auto"/>
        <w:right w:val="none" w:sz="0" w:space="0" w:color="auto"/>
      </w:divBdr>
    </w:div>
    <w:div w:id="20100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0" ma:contentTypeDescription="Create a new document." ma:contentTypeScope="" ma:versionID="10b706444473ef8e54f08e689c9ff89f">
  <xsd:schema xmlns:xsd="http://www.w3.org/2001/XMLSchema" xmlns:xs="http://www.w3.org/2001/XMLSchema" xmlns:p="http://schemas.microsoft.com/office/2006/metadata/properties" xmlns:ns3="d7da2729-04b6-4b35-9467-04604c527e9a" xmlns:ns4="ae4737a0-5a6b-46e9-bcde-b6639a4991fe" targetNamespace="http://schemas.microsoft.com/office/2006/metadata/properties" ma:root="true" ma:fieldsID="c1770ceb1fe19ac58c007f1b846f0cfd" ns3:_="" ns4:_="">
    <xsd:import namespace="d7da2729-04b6-4b35-9467-04604c527e9a"/>
    <xsd:import namespace="ae4737a0-5a6b-46e9-bcde-b6639a4991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2580-3A9B-4A10-9D9F-8ADA69110345}">
  <ds:schemaRefs>
    <ds:schemaRef ds:uri="http://schemas.microsoft.com/sharepoint/v3/contenttype/forms"/>
  </ds:schemaRefs>
</ds:datastoreItem>
</file>

<file path=customXml/itemProps2.xml><?xml version="1.0" encoding="utf-8"?>
<ds:datastoreItem xmlns:ds="http://schemas.openxmlformats.org/officeDocument/2006/customXml" ds:itemID="{DEE50D23-0E1F-4BF8-ADDD-17301E8D84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CB3D26-ABCF-4B61-B338-B7AC4744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2729-04b6-4b35-9467-04604c527e9a"/>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54A05-8D13-492E-BE22-6EB12EF4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2535</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Stutch, Pamela</dc:creator>
  <cp:keywords/>
  <dc:description/>
  <cp:lastModifiedBy>Wismer, Don</cp:lastModifiedBy>
  <cp:revision>5</cp:revision>
  <dcterms:created xsi:type="dcterms:W3CDTF">2022-12-06T21:20:00Z</dcterms:created>
  <dcterms:modified xsi:type="dcterms:W3CDTF">2022-12-06T21:33:00Z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