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C4" w:rsidRDefault="001662C4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>
        <w:rPr>
          <w:rFonts w:ascii="Bookman Old Style" w:hAnsi="Bookman Old Style"/>
          <w:b/>
          <w:bCs/>
          <w:kern w:val="36"/>
          <w:sz w:val="22"/>
          <w:szCs w:val="22"/>
        </w:rPr>
        <w:t>02-3</w:t>
      </w:r>
      <w:r w:rsidR="008F0CEE">
        <w:rPr>
          <w:rFonts w:ascii="Bookman Old Style" w:hAnsi="Bookman Old Style"/>
          <w:b/>
          <w:bCs/>
          <w:kern w:val="36"/>
          <w:sz w:val="22"/>
          <w:szCs w:val="22"/>
        </w:rPr>
        <w:t>8</w:t>
      </w:r>
      <w:r>
        <w:rPr>
          <w:rFonts w:ascii="Bookman Old Style" w:hAnsi="Bookman Old Style"/>
          <w:b/>
          <w:bCs/>
          <w:kern w:val="36"/>
          <w:sz w:val="22"/>
          <w:szCs w:val="22"/>
        </w:rPr>
        <w:t>3</w:t>
      </w:r>
    </w:p>
    <w:p w:rsidR="00C30B49" w:rsidRPr="001662C4" w:rsidRDefault="00C30B49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 w:rsidRPr="001662C4">
        <w:rPr>
          <w:rFonts w:ascii="Bookman Old Style" w:hAnsi="Bookman Old Style"/>
          <w:b/>
          <w:bCs/>
          <w:kern w:val="36"/>
          <w:sz w:val="22"/>
          <w:szCs w:val="22"/>
        </w:rPr>
        <w:t xml:space="preserve">BOARD OF </w:t>
      </w:r>
      <w:r w:rsidR="008F0CEE">
        <w:rPr>
          <w:rFonts w:ascii="Bookman Old Style" w:hAnsi="Bookman Old Style"/>
          <w:b/>
          <w:bCs/>
          <w:kern w:val="36"/>
          <w:sz w:val="22"/>
          <w:szCs w:val="22"/>
        </w:rPr>
        <w:t xml:space="preserve">OSTEOPATHIC </w:t>
      </w:r>
      <w:r w:rsidRPr="001662C4">
        <w:rPr>
          <w:rFonts w:ascii="Bookman Old Style" w:hAnsi="Bookman Old Style"/>
          <w:b/>
          <w:bCs/>
          <w:kern w:val="36"/>
          <w:sz w:val="22"/>
          <w:szCs w:val="22"/>
        </w:rPr>
        <w:t>LICENSURE</w:t>
      </w:r>
    </w:p>
    <w:p w:rsidR="00222B38" w:rsidRPr="001662C4" w:rsidRDefault="00C06076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>
        <w:rPr>
          <w:rFonts w:ascii="Bookman Old Style" w:hAnsi="Bookman Old Style"/>
          <w:bCs/>
          <w:kern w:val="36"/>
          <w:sz w:val="22"/>
          <w:szCs w:val="22"/>
        </w:rPr>
        <w:t>20</w:t>
      </w:r>
      <w:r w:rsidR="008B5F97">
        <w:rPr>
          <w:rFonts w:ascii="Bookman Old Style" w:hAnsi="Bookman Old Style"/>
          <w:bCs/>
          <w:kern w:val="36"/>
          <w:sz w:val="22"/>
          <w:szCs w:val="22"/>
        </w:rPr>
        <w:t>20</w:t>
      </w:r>
      <w:r>
        <w:rPr>
          <w:rFonts w:ascii="Bookman Old Style" w:hAnsi="Bookman Old Style"/>
          <w:bCs/>
          <w:kern w:val="36"/>
          <w:sz w:val="22"/>
          <w:szCs w:val="22"/>
        </w:rPr>
        <w:t xml:space="preserve"> - 202</w:t>
      </w:r>
      <w:r w:rsidR="008B5F97">
        <w:rPr>
          <w:rFonts w:ascii="Bookman Old Style" w:hAnsi="Bookman Old Style"/>
          <w:bCs/>
          <w:kern w:val="36"/>
          <w:sz w:val="22"/>
          <w:szCs w:val="22"/>
        </w:rPr>
        <w:t>1</w:t>
      </w:r>
      <w:r w:rsidR="00222B38" w:rsidRPr="001662C4">
        <w:rPr>
          <w:rFonts w:ascii="Bookman Old Style" w:hAnsi="Bookman Old Style"/>
          <w:bCs/>
          <w:kern w:val="36"/>
          <w:sz w:val="22"/>
          <w:szCs w:val="22"/>
        </w:rPr>
        <w:t xml:space="preserve"> Regulatory Agenda</w:t>
      </w:r>
    </w:p>
    <w:p w:rsidR="00550A33" w:rsidRDefault="004D60F0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June 25, 2020</w:t>
      </w:r>
    </w:p>
    <w:p w:rsidR="00762DEA" w:rsidRDefault="00762DEA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:rsidR="00762DEA" w:rsidRPr="001662C4" w:rsidRDefault="00762DEA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:rsidR="00082DBF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AGENCY UMBRELLA-UNIT NUMBER:</w:t>
      </w:r>
      <w:r w:rsidR="005611EE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F0CEE">
        <w:rPr>
          <w:rFonts w:ascii="Bookman Old Style" w:hAnsi="Bookman Old Style"/>
          <w:b/>
          <w:bCs/>
          <w:color w:val="000000"/>
          <w:sz w:val="22"/>
          <w:szCs w:val="22"/>
        </w:rPr>
        <w:t>02-38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3</w:t>
      </w: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AGENCY NAME:</w:t>
      </w:r>
      <w:r w:rsidR="005611EE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Board of </w:t>
      </w:r>
      <w:r w:rsidR="008F0CEE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Osteopathic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Licensure</w:t>
      </w: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4F723A" w:rsidRPr="001662C4" w:rsidRDefault="001662C4" w:rsidP="00C717FB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RULE</w:t>
      </w:r>
      <w:r w:rsidR="00ED4C0D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MAKING LIA</w:t>
      </w:r>
      <w:r w:rsidR="00761E57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I</w:t>
      </w:r>
      <w:r w:rsidR="00ED4C0D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SON</w:t>
      </w:r>
      <w:r w:rsidR="00ED4C0D" w:rsidRPr="001662C4">
        <w:rPr>
          <w:rFonts w:ascii="Bookman Old Style" w:hAnsi="Bookman Old Style"/>
          <w:bCs/>
          <w:color w:val="000000"/>
          <w:sz w:val="22"/>
          <w:szCs w:val="22"/>
        </w:rPr>
        <w:t>:</w:t>
      </w:r>
      <w:r w:rsidR="005611EE" w:rsidRPr="001662C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8F0CEE">
        <w:rPr>
          <w:rFonts w:ascii="Bookman Old Style" w:hAnsi="Bookman Old Style"/>
          <w:bCs/>
          <w:color w:val="000000"/>
          <w:sz w:val="22"/>
          <w:szCs w:val="22"/>
        </w:rPr>
        <w:t>Susan E. Strout, Executive Secretary</w:t>
      </w:r>
      <w:r w:rsidR="008F0CEE">
        <w:rPr>
          <w:rFonts w:ascii="Bookman Old Style" w:hAnsi="Bookman Old Style"/>
          <w:color w:val="000000"/>
          <w:sz w:val="22"/>
          <w:szCs w:val="22"/>
        </w:rPr>
        <w:t>, 142</w:t>
      </w:r>
      <w:r w:rsidR="004F723A" w:rsidRPr="001662C4">
        <w:rPr>
          <w:rFonts w:ascii="Bookman Old Style" w:hAnsi="Bookman Old Style"/>
          <w:color w:val="000000"/>
          <w:sz w:val="22"/>
          <w:szCs w:val="22"/>
        </w:rPr>
        <w:t xml:space="preserve"> State House </w:t>
      </w:r>
      <w:r w:rsidR="008F0CEE">
        <w:rPr>
          <w:rFonts w:ascii="Bookman Old Style" w:hAnsi="Bookman Old Style"/>
          <w:color w:val="000000"/>
          <w:sz w:val="22"/>
          <w:szCs w:val="22"/>
        </w:rPr>
        <w:t>Station, Augusta,</w:t>
      </w:r>
      <w:bookmarkStart w:id="0" w:name="_GoBack"/>
      <w:bookmarkEnd w:id="0"/>
      <w:r w:rsidR="008F0CEE">
        <w:rPr>
          <w:rFonts w:ascii="Bookman Old Style" w:hAnsi="Bookman Old Style"/>
          <w:color w:val="000000"/>
          <w:sz w:val="22"/>
          <w:szCs w:val="22"/>
        </w:rPr>
        <w:t xml:space="preserve"> ME 04333-0142. Telephone:</w:t>
      </w:r>
      <w:r w:rsidR="004F723A" w:rsidRPr="001662C4">
        <w:rPr>
          <w:rFonts w:ascii="Bookman Old Style" w:hAnsi="Bookman Old Style"/>
          <w:color w:val="000000"/>
          <w:sz w:val="22"/>
          <w:szCs w:val="22"/>
        </w:rPr>
        <w:t xml:space="preserve"> (207) 287-</w:t>
      </w:r>
      <w:r w:rsidR="008F0CEE">
        <w:rPr>
          <w:rFonts w:ascii="Bookman Old Style" w:hAnsi="Bookman Old Style"/>
          <w:color w:val="000000"/>
          <w:sz w:val="22"/>
          <w:szCs w:val="22"/>
        </w:rPr>
        <w:t>2480. E</w:t>
      </w:r>
      <w:r w:rsidR="00CE4109" w:rsidRPr="001662C4">
        <w:rPr>
          <w:rFonts w:ascii="Bookman Old Style" w:hAnsi="Bookman Old Style"/>
          <w:color w:val="000000"/>
          <w:sz w:val="22"/>
          <w:szCs w:val="22"/>
        </w:rPr>
        <w:t>mail</w:t>
      </w:r>
      <w:r w:rsidR="00B40748" w:rsidRPr="001662C4">
        <w:rPr>
          <w:rFonts w:ascii="Bookman Old Style" w:hAnsi="Bookman Old Style"/>
          <w:color w:val="000000"/>
          <w:sz w:val="22"/>
          <w:szCs w:val="22"/>
        </w:rPr>
        <w:t>:</w:t>
      </w:r>
      <w:r w:rsidR="00CE4109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hyperlink r:id="rId7" w:history="1">
        <w:r w:rsidR="008F0CEE" w:rsidRPr="00DC7438">
          <w:rPr>
            <w:rStyle w:val="Hyperlink"/>
            <w:rFonts w:ascii="Bookman Old Style" w:hAnsi="Bookman Old Style"/>
            <w:sz w:val="22"/>
            <w:szCs w:val="22"/>
          </w:rPr>
          <w:t>osteo.pfr@maine.gov</w:t>
        </w:r>
      </w:hyperlink>
      <w:r w:rsidR="008F0CEE">
        <w:rPr>
          <w:rFonts w:ascii="Bookman Old Style" w:hAnsi="Bookman Old Style"/>
          <w:sz w:val="22"/>
          <w:szCs w:val="22"/>
        </w:rPr>
        <w:t xml:space="preserve"> or </w:t>
      </w:r>
      <w:hyperlink r:id="rId8" w:history="1">
        <w:r w:rsidR="008F0CEE" w:rsidRPr="00DC7438">
          <w:rPr>
            <w:rStyle w:val="Hyperlink"/>
            <w:rFonts w:ascii="Bookman Old Style" w:hAnsi="Bookman Old Style"/>
            <w:sz w:val="22"/>
            <w:szCs w:val="22"/>
          </w:rPr>
          <w:t>Susan.E.Strout@Maine.gov</w:t>
        </w:r>
      </w:hyperlink>
      <w:r w:rsidR="008F0CEE">
        <w:rPr>
          <w:rFonts w:ascii="Bookman Old Style" w:hAnsi="Bookman Old Style"/>
          <w:sz w:val="22"/>
          <w:szCs w:val="22"/>
        </w:rPr>
        <w:t>.</w:t>
      </w:r>
    </w:p>
    <w:p w:rsidR="00C30B49" w:rsidRPr="001662C4" w:rsidRDefault="00C30B49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EMERGENCY RULES ADOPTED SINCE THE LAST REGULATORY AGENDA</w:t>
      </w:r>
      <w:r w:rsidRPr="001662C4">
        <w:rPr>
          <w:rFonts w:ascii="Bookman Old Style" w:hAnsi="Bookman Old Style"/>
          <w:bCs/>
          <w:color w:val="000000"/>
          <w:sz w:val="22"/>
          <w:szCs w:val="22"/>
        </w:rPr>
        <w:t>:</w:t>
      </w:r>
      <w:r w:rsidR="005611EE" w:rsidRPr="001662C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color w:val="000000"/>
          <w:sz w:val="22"/>
          <w:szCs w:val="22"/>
        </w:rPr>
        <w:t>None</w:t>
      </w: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EXPECTED </w:t>
      </w:r>
      <w:r w:rsidR="00C06076">
        <w:rPr>
          <w:rFonts w:ascii="Bookman Old Style" w:hAnsi="Bookman Old Style"/>
          <w:b/>
          <w:bCs/>
          <w:color w:val="000000"/>
          <w:sz w:val="22"/>
          <w:szCs w:val="22"/>
        </w:rPr>
        <w:t>20</w:t>
      </w:r>
      <w:r w:rsidR="004D60F0">
        <w:rPr>
          <w:rFonts w:ascii="Bookman Old Style" w:hAnsi="Bookman Old Style"/>
          <w:b/>
          <w:bCs/>
          <w:color w:val="000000"/>
          <w:sz w:val="22"/>
          <w:szCs w:val="22"/>
        </w:rPr>
        <w:t>20</w:t>
      </w:r>
      <w:r w:rsidR="00372E7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– 202</w:t>
      </w:r>
      <w:r w:rsidR="004D60F0">
        <w:rPr>
          <w:rFonts w:ascii="Bookman Old Style" w:hAnsi="Bookman Old Style"/>
          <w:b/>
          <w:bCs/>
          <w:color w:val="000000"/>
          <w:sz w:val="22"/>
          <w:szCs w:val="22"/>
        </w:rPr>
        <w:t>1</w:t>
      </w:r>
      <w:r w:rsidR="00372E7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RULE-MAKING ACTIVITY:</w:t>
      </w:r>
    </w:p>
    <w:p w:rsidR="00321C72" w:rsidRDefault="00321C72" w:rsidP="004F723A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  <w:u w:val="single"/>
        </w:rPr>
      </w:pP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Definitions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 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AB3E15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</w:t>
      </w:r>
      <w:r w:rsidR="00AB3E15">
        <w:rPr>
          <w:rFonts w:ascii="Bookman Old Style" w:eastAsia="Calibri" w:hAnsi="Bookman Old Style"/>
          <w:sz w:val="21"/>
          <w:szCs w:val="21"/>
        </w:rPr>
        <w:t xml:space="preserve">define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certain terms/words frequently used.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ANTICIPATED SCHEDULE: Winter/Spring 20</w:t>
      </w:r>
      <w:r w:rsidR="00C06076">
        <w:rPr>
          <w:rFonts w:ascii="Bookman Old Style" w:eastAsia="Calibri" w:hAnsi="Bookman Old Style"/>
          <w:sz w:val="21"/>
          <w:szCs w:val="21"/>
        </w:rPr>
        <w:t>2</w:t>
      </w:r>
      <w:r w:rsidR="004D60F0">
        <w:rPr>
          <w:rFonts w:ascii="Bookman Old Style" w:eastAsia="Calibri" w:hAnsi="Bookman Old Style"/>
          <w:sz w:val="21"/>
          <w:szCs w:val="21"/>
        </w:rPr>
        <w:t>1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A40440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2C616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Default="00AB3E15" w:rsidP="00372E7D">
      <w:pPr>
        <w:spacing w:line="240" w:lineRule="auto"/>
        <w:ind w:left="0" w:firstLine="720"/>
        <w:jc w:val="both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b/>
          <w:sz w:val="21"/>
          <w:szCs w:val="21"/>
        </w:rPr>
        <w:t xml:space="preserve">AMEND EXISTING </w:t>
      </w:r>
      <w:r w:rsidR="002C616D" w:rsidRPr="00A40440">
        <w:rPr>
          <w:rFonts w:ascii="Bookman Old Style" w:eastAsia="Calibri" w:hAnsi="Bookman Old Style"/>
          <w:b/>
          <w:sz w:val="21"/>
          <w:szCs w:val="21"/>
        </w:rPr>
        <w:t>CHAPTER 2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="002C616D" w:rsidRPr="00292D6F">
        <w:rPr>
          <w:rFonts w:ascii="Bookman Old Style" w:eastAsia="Calibri" w:hAnsi="Bookman Old Style"/>
          <w:b/>
          <w:sz w:val="21"/>
          <w:szCs w:val="21"/>
        </w:rPr>
        <w:t>Joint Rule Regarding Physician Assistants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32 M.R.S. §§ 2562 &amp; 2581 </w:t>
      </w:r>
    </w:p>
    <w:p w:rsidR="00292D6F" w:rsidRDefault="002C616D" w:rsidP="00372E7D">
      <w:pPr>
        <w:spacing w:line="240" w:lineRule="auto"/>
        <w:jc w:val="both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This rule, joint with the Board of Licensure in Medicine sets forth </w:t>
      </w:r>
      <w:r w:rsidR="0097387C">
        <w:rPr>
          <w:rFonts w:ascii="Bookman Old Style" w:eastAsia="Calibri" w:hAnsi="Bookman Old Style"/>
          <w:sz w:val="21"/>
          <w:szCs w:val="21"/>
        </w:rPr>
        <w:t xml:space="preserve">(including but not limited to) </w:t>
      </w:r>
      <w:r w:rsidR="0059742A">
        <w:rPr>
          <w:rFonts w:ascii="Bookman Old Style" w:eastAsia="Calibri" w:hAnsi="Bookman Old Style"/>
          <w:sz w:val="21"/>
          <w:szCs w:val="21"/>
        </w:rPr>
        <w:t xml:space="preserve">the terms </w:t>
      </w:r>
      <w:r w:rsidR="0097387C">
        <w:rPr>
          <w:rFonts w:ascii="Bookman Old Style" w:eastAsia="Calibri" w:hAnsi="Bookman Old Style"/>
          <w:sz w:val="21"/>
          <w:szCs w:val="21"/>
        </w:rPr>
        <w:t xml:space="preserve">for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licensure, </w:t>
      </w:r>
      <w:r w:rsidR="004D60F0">
        <w:rPr>
          <w:rFonts w:ascii="Bookman Old Style" w:eastAsia="Calibri" w:hAnsi="Bookman Old Style"/>
          <w:sz w:val="21"/>
          <w:szCs w:val="21"/>
        </w:rPr>
        <w:t>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cope of practice, </w:t>
      </w:r>
      <w:r w:rsidR="004D60F0">
        <w:rPr>
          <w:rFonts w:ascii="Bookman Old Style" w:eastAsia="Calibri" w:hAnsi="Bookman Old Style"/>
          <w:sz w:val="21"/>
          <w:szCs w:val="21"/>
        </w:rPr>
        <w:t>n</w:t>
      </w:r>
      <w:r w:rsidRPr="002C616D">
        <w:rPr>
          <w:rFonts w:ascii="Bookman Old Style" w:eastAsia="Calibri" w:hAnsi="Bookman Old Style"/>
          <w:sz w:val="21"/>
          <w:szCs w:val="21"/>
        </w:rPr>
        <w:t>otification &amp;</w:t>
      </w:r>
      <w:r w:rsidR="0086246B">
        <w:rPr>
          <w:rFonts w:ascii="Bookman Old Style" w:eastAsia="Calibri" w:hAnsi="Bookman Old Style"/>
          <w:sz w:val="21"/>
          <w:szCs w:val="21"/>
        </w:rPr>
        <w:t xml:space="preserve"> continuing medical education (CME</w:t>
      </w:r>
      <w:r w:rsidRPr="002C616D">
        <w:rPr>
          <w:rFonts w:ascii="Bookman Old Style" w:eastAsia="Calibri" w:hAnsi="Bookman Old Style"/>
          <w:sz w:val="21"/>
          <w:szCs w:val="21"/>
        </w:rPr>
        <w:t>) requirements for physician assistants</w:t>
      </w:r>
      <w:r w:rsidR="0097387C">
        <w:rPr>
          <w:rFonts w:ascii="Bookman Old Style" w:eastAsia="Calibri" w:hAnsi="Bookman Old Style"/>
          <w:sz w:val="21"/>
          <w:szCs w:val="21"/>
        </w:rPr>
        <w:t xml:space="preserve"> pursuant to </w:t>
      </w:r>
      <w:r w:rsidR="0059742A">
        <w:rPr>
          <w:rFonts w:ascii="Bookman Old Style" w:eastAsia="Calibri" w:hAnsi="Bookman Old Style"/>
          <w:sz w:val="21"/>
          <w:szCs w:val="21"/>
        </w:rPr>
        <w:t>Public Law Chapter 627 (March 18, 2020)</w:t>
      </w:r>
      <w:r w:rsidRPr="002C616D">
        <w:rPr>
          <w:rFonts w:ascii="Bookman Old Style" w:eastAsia="Calibri" w:hAnsi="Bookman Old Style"/>
          <w:sz w:val="21"/>
          <w:szCs w:val="21"/>
        </w:rPr>
        <w:t xml:space="preserve">. </w:t>
      </w:r>
    </w:p>
    <w:p w:rsidR="002C616D" w:rsidRPr="002C616D" w:rsidRDefault="00292D6F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SCHEDULE FOR ADOPTION: </w:t>
      </w:r>
      <w:r w:rsidR="004D60F0">
        <w:rPr>
          <w:rFonts w:ascii="Bookman Old Style" w:eastAsia="Calibri" w:hAnsi="Bookman Old Style"/>
          <w:sz w:val="21"/>
          <w:szCs w:val="21"/>
        </w:rPr>
        <w:t xml:space="preserve">Summer </w:t>
      </w:r>
      <w:r w:rsidR="00C06076">
        <w:rPr>
          <w:rFonts w:ascii="Bookman Old Style" w:eastAsia="Calibri" w:hAnsi="Bookman Old Style"/>
          <w:sz w:val="21"/>
          <w:szCs w:val="21"/>
        </w:rPr>
        <w:t>202</w:t>
      </w:r>
      <w:r w:rsidR="004D60F0">
        <w:rPr>
          <w:rFonts w:ascii="Bookman Old Style" w:eastAsia="Calibri" w:hAnsi="Bookman Old Style"/>
          <w:sz w:val="21"/>
          <w:szCs w:val="21"/>
        </w:rPr>
        <w:t>0</w:t>
      </w:r>
      <w:r w:rsidR="00C06076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92D6F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</w:t>
      </w:r>
      <w:r w:rsidR="008A51A5">
        <w:rPr>
          <w:rFonts w:ascii="Bookman Old Style" w:eastAsia="Calibri" w:hAnsi="Bookman Old Style"/>
          <w:sz w:val="21"/>
          <w:szCs w:val="21"/>
        </w:rPr>
        <w:t>Citizens and l</w:t>
      </w:r>
      <w:r w:rsidR="00292D6F">
        <w:rPr>
          <w:rFonts w:ascii="Bookman Old Style" w:eastAsia="Calibri" w:hAnsi="Bookman Old Style"/>
          <w:sz w:val="21"/>
          <w:szCs w:val="21"/>
        </w:rPr>
        <w:t>icensees.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2C616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7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Complaints, Investigations</w:t>
      </w:r>
      <w:r w:rsidR="004D60F0">
        <w:rPr>
          <w:rFonts w:ascii="Bookman Old Style" w:eastAsia="Calibri" w:hAnsi="Bookman Old Style"/>
          <w:b/>
          <w:sz w:val="21"/>
          <w:szCs w:val="21"/>
        </w:rPr>
        <w:t xml:space="preserve"> </w:t>
      </w:r>
      <w:r w:rsidRPr="00292D6F">
        <w:rPr>
          <w:rFonts w:ascii="Bookman Old Style" w:eastAsia="Calibri" w:hAnsi="Bookman Old Style"/>
          <w:b/>
          <w:sz w:val="21"/>
          <w:szCs w:val="21"/>
        </w:rPr>
        <w:t>&amp; Unprofessional Conduct</w:t>
      </w:r>
      <w:r w:rsidR="004D60F0">
        <w:rPr>
          <w:rFonts w:ascii="Bookman Old Style" w:eastAsia="Calibri" w:hAnsi="Bookman Old Style"/>
          <w:b/>
          <w:sz w:val="21"/>
          <w:szCs w:val="21"/>
        </w:rPr>
        <w:t>, Disciplinary Actions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protect the citizens of Maine, this rule will describe the procedure </w:t>
      </w:r>
      <w:r w:rsidR="0097387C">
        <w:rPr>
          <w:rFonts w:ascii="Bookman Old Style" w:eastAsia="Calibri" w:hAnsi="Bookman Old Style"/>
          <w:sz w:val="21"/>
          <w:szCs w:val="21"/>
        </w:rPr>
        <w:t>used by the B</w:t>
      </w:r>
      <w:r w:rsidRPr="002C616D">
        <w:rPr>
          <w:rFonts w:ascii="Bookman Old Style" w:eastAsia="Calibri" w:hAnsi="Bookman Old Style"/>
          <w:sz w:val="21"/>
          <w:szCs w:val="21"/>
        </w:rPr>
        <w:t>oar</w:t>
      </w:r>
      <w:r w:rsidR="0097387C">
        <w:rPr>
          <w:rFonts w:ascii="Bookman Old Style" w:eastAsia="Calibri" w:hAnsi="Bookman Old Style"/>
          <w:sz w:val="21"/>
          <w:szCs w:val="21"/>
        </w:rPr>
        <w:t>d</w:t>
      </w:r>
      <w:r w:rsidR="00C717FB">
        <w:rPr>
          <w:rFonts w:ascii="Bookman Old Style" w:eastAsia="Calibri" w:hAnsi="Bookman Old Style"/>
          <w:sz w:val="21"/>
          <w:szCs w:val="21"/>
        </w:rPr>
        <w:t xml:space="preserve"> </w:t>
      </w:r>
      <w:r w:rsidR="0097387C">
        <w:rPr>
          <w:rFonts w:ascii="Bookman Old Style" w:eastAsia="Calibri" w:hAnsi="Bookman Old Style"/>
          <w:sz w:val="21"/>
          <w:szCs w:val="21"/>
        </w:rPr>
        <w:t xml:space="preserve">when </w:t>
      </w:r>
      <w:r w:rsidRPr="002C616D">
        <w:rPr>
          <w:rFonts w:ascii="Bookman Old Style" w:eastAsia="Calibri" w:hAnsi="Bookman Old Style"/>
          <w:sz w:val="21"/>
          <w:szCs w:val="21"/>
        </w:rPr>
        <w:t>processing complaints and</w:t>
      </w:r>
      <w:r w:rsidR="004D60F0">
        <w:rPr>
          <w:rFonts w:ascii="Bookman Old Style" w:eastAsia="Calibri" w:hAnsi="Bookman Old Style"/>
          <w:sz w:val="21"/>
          <w:szCs w:val="21"/>
        </w:rPr>
        <w:t>/</w:t>
      </w:r>
      <w:r w:rsidRPr="002C616D">
        <w:rPr>
          <w:rFonts w:ascii="Bookman Old Style" w:eastAsia="Calibri" w:hAnsi="Bookman Old Style"/>
          <w:sz w:val="21"/>
          <w:szCs w:val="21"/>
        </w:rPr>
        <w:t>or initiating its own complaints &amp; investigations and</w:t>
      </w:r>
      <w:r w:rsidR="0097387C">
        <w:rPr>
          <w:rFonts w:ascii="Bookman Old Style" w:eastAsia="Calibri" w:hAnsi="Bookman Old Style"/>
          <w:sz w:val="21"/>
          <w:szCs w:val="21"/>
        </w:rPr>
        <w:t xml:space="preserve"> will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define </w:t>
      </w:r>
      <w:r w:rsidR="004D60F0">
        <w:rPr>
          <w:rFonts w:ascii="Bookman Old Style" w:eastAsia="Calibri" w:hAnsi="Bookman Old Style"/>
          <w:sz w:val="21"/>
          <w:szCs w:val="21"/>
        </w:rPr>
        <w:t xml:space="preserve">(including but not limited to)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those acts </w:t>
      </w:r>
      <w:r w:rsidR="004D60F0">
        <w:rPr>
          <w:rFonts w:ascii="Bookman Old Style" w:eastAsia="Calibri" w:hAnsi="Bookman Old Style"/>
          <w:sz w:val="21"/>
          <w:szCs w:val="21"/>
        </w:rPr>
        <w:t>and/</w:t>
      </w:r>
      <w:r w:rsidRPr="002C616D">
        <w:rPr>
          <w:rFonts w:ascii="Bookman Old Style" w:eastAsia="Calibri" w:hAnsi="Bookman Old Style"/>
          <w:sz w:val="21"/>
          <w:szCs w:val="21"/>
        </w:rPr>
        <w:t xml:space="preserve">or omissions that constitute unprofessional conduct and unethical behavior. </w:t>
      </w:r>
    </w:p>
    <w:p w:rsidR="002C616D" w:rsidRPr="002C616D" w:rsidRDefault="00292D6F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4D60F0">
        <w:rPr>
          <w:rFonts w:ascii="Bookman Old Style" w:eastAsia="Calibri" w:hAnsi="Bookman Old Style"/>
          <w:sz w:val="21"/>
          <w:szCs w:val="21"/>
        </w:rPr>
        <w:t>Fall/</w:t>
      </w:r>
      <w:r w:rsidR="00C06076">
        <w:rPr>
          <w:rFonts w:ascii="Bookman Old Style" w:eastAsia="Calibri" w:hAnsi="Bookman Old Style"/>
          <w:sz w:val="21"/>
          <w:szCs w:val="21"/>
        </w:rPr>
        <w:t>Winter 202</w:t>
      </w:r>
      <w:r w:rsidR="004D60F0">
        <w:rPr>
          <w:rFonts w:ascii="Bookman Old Style" w:eastAsia="Calibri" w:hAnsi="Bookman Old Style"/>
          <w:sz w:val="21"/>
          <w:szCs w:val="21"/>
        </w:rPr>
        <w:t>0</w:t>
      </w:r>
    </w:p>
    <w:p w:rsidR="00A40440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AFFECTED PARTIES: Citizens and licensees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2C616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Pr="004F584C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b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8</w:t>
      </w:r>
      <w:r w:rsidRPr="002C616D">
        <w:rPr>
          <w:rFonts w:ascii="Bookman Old Style" w:eastAsia="Calibri" w:hAnsi="Bookman Old Style"/>
          <w:sz w:val="21"/>
          <w:szCs w:val="21"/>
        </w:rPr>
        <w:t>:</w:t>
      </w:r>
      <w:r w:rsidR="0097387C">
        <w:rPr>
          <w:rFonts w:ascii="Bookman Old Style" w:eastAsia="Calibri" w:hAnsi="Bookman Old Style"/>
          <w:sz w:val="21"/>
          <w:szCs w:val="21"/>
        </w:rPr>
        <w:t xml:space="preserve"> </w:t>
      </w:r>
      <w:r w:rsidRPr="004F584C">
        <w:rPr>
          <w:rFonts w:ascii="Bookman Old Style" w:eastAsia="Calibri" w:hAnsi="Bookman Old Style"/>
          <w:b/>
          <w:sz w:val="21"/>
          <w:szCs w:val="21"/>
        </w:rPr>
        <w:t>Licensure</w:t>
      </w:r>
      <w:r w:rsidR="0097387C">
        <w:rPr>
          <w:rFonts w:ascii="Bookman Old Style" w:eastAsia="Calibri" w:hAnsi="Bookman Old Style"/>
          <w:b/>
          <w:sz w:val="21"/>
          <w:szCs w:val="21"/>
        </w:rPr>
        <w:t xml:space="preserve"> &amp; Renewal </w:t>
      </w:r>
      <w:r w:rsidRPr="004F584C">
        <w:rPr>
          <w:rFonts w:ascii="Bookman Old Style" w:eastAsia="Calibri" w:hAnsi="Bookman Old Style"/>
          <w:b/>
          <w:sz w:val="21"/>
          <w:szCs w:val="21"/>
        </w:rPr>
        <w:t xml:space="preserve">of Osteopathic Physicians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A40440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protect the citizens of Maine, this chapter will clarify the statute for licensure and will describe requirements established by the Board for the licensing and renewal of ost</w:t>
      </w:r>
      <w:r w:rsidR="00A40440">
        <w:rPr>
          <w:rFonts w:ascii="Bookman Old Style" w:eastAsia="Calibri" w:hAnsi="Bookman Old Style"/>
          <w:sz w:val="21"/>
          <w:szCs w:val="21"/>
        </w:rPr>
        <w:t xml:space="preserve">eopathic physicians. </w:t>
      </w:r>
    </w:p>
    <w:p w:rsidR="002C616D" w:rsidRPr="002C616D" w:rsidRDefault="00A40440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ANTICIPA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TED SCHEDULE: </w:t>
      </w:r>
      <w:r w:rsidR="004D60F0">
        <w:rPr>
          <w:rFonts w:ascii="Bookman Old Style" w:eastAsia="Calibri" w:hAnsi="Bookman Old Style"/>
          <w:sz w:val="21"/>
          <w:szCs w:val="21"/>
        </w:rPr>
        <w:t>Fall/Wi</w:t>
      </w:r>
      <w:r w:rsidR="00C06076">
        <w:rPr>
          <w:rFonts w:ascii="Bookman Old Style" w:eastAsia="Calibri" w:hAnsi="Bookman Old Style"/>
          <w:sz w:val="21"/>
          <w:szCs w:val="21"/>
        </w:rPr>
        <w:t>nter 202</w:t>
      </w:r>
      <w:r w:rsidR="004D60F0">
        <w:rPr>
          <w:rFonts w:ascii="Bookman Old Style" w:eastAsia="Calibri" w:hAnsi="Bookman Old Style"/>
          <w:sz w:val="21"/>
          <w:szCs w:val="21"/>
        </w:rPr>
        <w:t>0</w:t>
      </w:r>
    </w:p>
    <w:p w:rsidR="00A40440" w:rsidRDefault="002C616D" w:rsidP="00372E7D">
      <w:pPr>
        <w:keepNext/>
        <w:keepLines/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AFFECTED PARTIES: Citizens and licensees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keepNext/>
        <w:keepLines/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2C616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Citing Costs/Issuing Citations &amp; Fines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This chapter lists violations for which the Board may cite costs, issue a citation or administrative fine and describes the licensee's right to request a hearing and describes the time and manner in which the fine must be paid.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5B1A23">
        <w:rPr>
          <w:rFonts w:ascii="Bookman Old Style" w:eastAsia="Calibri" w:hAnsi="Bookman Old Style"/>
          <w:sz w:val="21"/>
          <w:szCs w:val="21"/>
        </w:rPr>
        <w:t>Fall/W</w:t>
      </w:r>
      <w:r w:rsidR="00C06076">
        <w:rPr>
          <w:rFonts w:ascii="Bookman Old Style" w:eastAsia="Calibri" w:hAnsi="Bookman Old Style"/>
          <w:sz w:val="21"/>
          <w:szCs w:val="21"/>
        </w:rPr>
        <w:t>inter 2020</w:t>
      </w:r>
    </w:p>
    <w:p w:rsidR="002C616D" w:rsidRPr="002C616D" w:rsidRDefault="00292D6F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AFFECTED PARTIES: L</w:t>
      </w:r>
      <w:r w:rsidR="008A51A5">
        <w:rPr>
          <w:rFonts w:ascii="Bookman Old Style" w:eastAsia="Calibri" w:hAnsi="Bookman Old Style"/>
          <w:sz w:val="21"/>
          <w:szCs w:val="21"/>
        </w:rPr>
        <w:t>icensees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2C616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A40440">
        <w:rPr>
          <w:rFonts w:ascii="Bookman Old Style" w:eastAsia="Calibri" w:hAnsi="Bookman Old Style"/>
          <w:b/>
          <w:sz w:val="21"/>
          <w:szCs w:val="21"/>
        </w:rPr>
        <w:t>RULE CHAPTER 10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Sexual Misconduct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372E7D">
      <w:pPr>
        <w:spacing w:line="240" w:lineRule="auto"/>
        <w:ind w:right="180"/>
        <w:jc w:val="both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This rule, joint with the Board of Licensure in Medicine, defines sexual misconduct by physicians and physician assistants</w:t>
      </w:r>
      <w:r w:rsidR="00550A33">
        <w:rPr>
          <w:rFonts w:ascii="Bookman Old Style" w:eastAsia="Calibri" w:hAnsi="Bookman Old Style"/>
          <w:sz w:val="21"/>
          <w:szCs w:val="21"/>
        </w:rPr>
        <w:t xml:space="preserve"> and </w:t>
      </w:r>
      <w:r w:rsidRPr="002C616D">
        <w:rPr>
          <w:rFonts w:ascii="Bookman Old Style" w:eastAsia="Calibri" w:hAnsi="Bookman Old Style"/>
          <w:sz w:val="21"/>
          <w:szCs w:val="21"/>
        </w:rPr>
        <w:t>sets forth the range of sanctions</w:t>
      </w:r>
      <w:r w:rsidR="00550A33">
        <w:rPr>
          <w:rFonts w:ascii="Bookman Old Style" w:eastAsia="Calibri" w:hAnsi="Bookman Old Style"/>
          <w:sz w:val="21"/>
          <w:szCs w:val="21"/>
        </w:rPr>
        <w:t xml:space="preserve"> which are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applicable to </w:t>
      </w:r>
      <w:r w:rsidR="00550A33">
        <w:rPr>
          <w:rFonts w:ascii="Bookman Old Style" w:eastAsia="Calibri" w:hAnsi="Bookman Old Style"/>
          <w:sz w:val="21"/>
          <w:szCs w:val="21"/>
        </w:rPr>
        <w:t xml:space="preserve">rule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violations. The Boards </w:t>
      </w:r>
      <w:r w:rsidR="00B0680F">
        <w:rPr>
          <w:rFonts w:ascii="Bookman Old Style" w:eastAsia="Calibri" w:hAnsi="Bookman Old Style"/>
          <w:sz w:val="21"/>
          <w:szCs w:val="21"/>
        </w:rPr>
        <w:t xml:space="preserve">hope to </w:t>
      </w:r>
      <w:r w:rsidRPr="002C616D">
        <w:rPr>
          <w:rFonts w:ascii="Bookman Old Style" w:eastAsia="Calibri" w:hAnsi="Bookman Old Style"/>
          <w:sz w:val="21"/>
          <w:szCs w:val="21"/>
        </w:rPr>
        <w:t>propose revisions to this chapter including identifying the factors to be considered by the Boards when contemplating</w:t>
      </w:r>
      <w:r w:rsidR="00550A33">
        <w:rPr>
          <w:rFonts w:ascii="Bookman Old Style" w:eastAsia="Calibri" w:hAnsi="Bookman Old Style"/>
          <w:sz w:val="21"/>
          <w:szCs w:val="21"/>
        </w:rPr>
        <w:t xml:space="preserve"> action against a licensee.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92D6F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</w:t>
      </w:r>
      <w:r w:rsidR="00E873C3">
        <w:rPr>
          <w:rFonts w:ascii="Bookman Old Style" w:eastAsia="Calibri" w:hAnsi="Bookman Old Style"/>
          <w:sz w:val="21"/>
          <w:szCs w:val="21"/>
        </w:rPr>
        <w:t>1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</w:t>
      </w:r>
      <w:r w:rsidR="0057702B">
        <w:rPr>
          <w:rFonts w:ascii="Bookman Old Style" w:eastAsia="Calibri" w:hAnsi="Bookman Old Style"/>
          <w:sz w:val="21"/>
          <w:szCs w:val="21"/>
        </w:rPr>
        <w:t>l</w:t>
      </w:r>
      <w:r w:rsidRPr="002C616D">
        <w:rPr>
          <w:rFonts w:ascii="Bookman Old Style" w:eastAsia="Calibri" w:hAnsi="Bookman Old Style"/>
          <w:sz w:val="21"/>
          <w:szCs w:val="21"/>
        </w:rPr>
        <w:t>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2C616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Pr="006B5EAF" w:rsidRDefault="002C616D" w:rsidP="00372E7D">
      <w:pPr>
        <w:spacing w:line="240" w:lineRule="auto"/>
        <w:rPr>
          <w:rFonts w:ascii="Bookman Old Style" w:eastAsia="Calibri" w:hAnsi="Bookman Old Style"/>
          <w:b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11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6B5EAF">
        <w:rPr>
          <w:rFonts w:ascii="Bookman Old Style" w:eastAsia="Calibri" w:hAnsi="Bookman Old Style"/>
          <w:b/>
          <w:sz w:val="21"/>
          <w:szCs w:val="21"/>
        </w:rPr>
        <w:t xml:space="preserve">Offer, Sale, Rental or Lease of Health-Related or Non-Health Related Goods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372E7D">
      <w:pPr>
        <w:spacing w:line="240" w:lineRule="auto"/>
        <w:jc w:val="both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establish policy and guidelines regarding the offer, sale, rental or lease of health-related or non-health related goods by a physician or physician assistant.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97387C">
        <w:rPr>
          <w:rFonts w:ascii="Bookman Old Style" w:eastAsia="Calibri" w:hAnsi="Bookman Old Style"/>
          <w:sz w:val="21"/>
          <w:szCs w:val="21"/>
        </w:rPr>
        <w:t>Fall/</w:t>
      </w:r>
      <w:r w:rsidRPr="002C616D">
        <w:rPr>
          <w:rFonts w:ascii="Bookman Old Style" w:eastAsia="Calibri" w:hAnsi="Bookman Old Style"/>
          <w:sz w:val="21"/>
          <w:szCs w:val="21"/>
        </w:rPr>
        <w:t>Winter</w:t>
      </w:r>
      <w:r w:rsidR="0097387C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20</w:t>
      </w:r>
      <w:r w:rsidR="00C06076">
        <w:rPr>
          <w:rFonts w:ascii="Bookman Old Style" w:eastAsia="Calibri" w:hAnsi="Bookman Old Style"/>
          <w:sz w:val="21"/>
          <w:szCs w:val="21"/>
        </w:rPr>
        <w:t>20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A40440" w:rsidRDefault="008A51A5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AFFECTED PARTIES: Citizens and 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licensees.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372E7D" w:rsidRDefault="00372E7D" w:rsidP="00372E7D">
      <w:pPr>
        <w:spacing w:line="240" w:lineRule="auto"/>
        <w:ind w:left="0" w:firstLine="720"/>
        <w:rPr>
          <w:rFonts w:ascii="Bookman Old Style" w:eastAsia="Calibri" w:hAnsi="Bookman Old Style"/>
          <w:b/>
          <w:sz w:val="21"/>
          <w:szCs w:val="21"/>
        </w:rPr>
      </w:pPr>
    </w:p>
    <w:p w:rsidR="00845DD4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845DD4">
        <w:rPr>
          <w:rFonts w:ascii="Bookman Old Style" w:eastAsia="Calibri" w:hAnsi="Bookman Old Style"/>
          <w:b/>
          <w:sz w:val="21"/>
          <w:szCs w:val="21"/>
        </w:rPr>
        <w:t>RULE CHAPTER 14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Continuing Medical Education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ind w:left="0" w:firstLine="72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update and clarify the continuing medical education (</w:t>
      </w:r>
      <w:r w:rsidR="00845DD4">
        <w:rPr>
          <w:rFonts w:ascii="Bookman Old Style" w:eastAsia="Calibri" w:hAnsi="Bookman Old Style"/>
          <w:sz w:val="21"/>
          <w:szCs w:val="21"/>
        </w:rPr>
        <w:t>CME</w:t>
      </w:r>
      <w:r w:rsidRPr="002C616D">
        <w:rPr>
          <w:rFonts w:ascii="Bookman Old Style" w:eastAsia="Calibri" w:hAnsi="Bookman Old Style"/>
          <w:sz w:val="21"/>
          <w:szCs w:val="21"/>
        </w:rPr>
        <w:t xml:space="preserve">) requirements for osteopathic physicians.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97387C">
        <w:rPr>
          <w:rFonts w:ascii="Bookman Old Style" w:eastAsia="Calibri" w:hAnsi="Bookman Old Style"/>
          <w:sz w:val="21"/>
          <w:szCs w:val="21"/>
        </w:rPr>
        <w:t>Fall/</w:t>
      </w:r>
      <w:r w:rsidR="00C06076">
        <w:rPr>
          <w:rFonts w:ascii="Bookman Old Style" w:eastAsia="Calibri" w:hAnsi="Bookman Old Style"/>
          <w:sz w:val="21"/>
          <w:szCs w:val="21"/>
        </w:rPr>
        <w:t>Winter 2020</w:t>
      </w:r>
    </w:p>
    <w:p w:rsidR="00845DD4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:rsidR="0097387C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CONSENSUS-BASED RULE DEVELOPMENT: Not contemplated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845DD4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>NEW RULE CHAPTER 15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Alternative Therapies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372E7D">
      <w:pPr>
        <w:spacing w:line="240" w:lineRule="auto"/>
        <w:jc w:val="both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clarify the professional responsibilities of those osteopathic physicians who utilize alternative therapies in their treatment of patients.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:rsidR="00845DD4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372E7D">
      <w:pPr>
        <w:spacing w:line="240" w:lineRule="auto"/>
        <w:rPr>
          <w:rFonts w:ascii="Bookman Old Style" w:eastAsia="Calibri" w:hAnsi="Bookman Old Style"/>
          <w:sz w:val="21"/>
          <w:szCs w:val="21"/>
        </w:rPr>
      </w:pPr>
    </w:p>
    <w:p w:rsidR="002C616D" w:rsidRPr="002C616D" w:rsidRDefault="002C616D" w:rsidP="002C616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8F0CEE" w:rsidRPr="001662C4" w:rsidRDefault="008F0CEE" w:rsidP="004F723A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  <w:u w:val="single"/>
        </w:rPr>
      </w:pPr>
    </w:p>
    <w:sectPr w:rsidR="008F0CEE" w:rsidRPr="001662C4" w:rsidSect="00550A33">
      <w:footerReference w:type="default" r:id="rId9"/>
      <w:pgSz w:w="12240" w:h="15840" w:code="1"/>
      <w:pgMar w:top="1440" w:right="1080" w:bottom="1440" w:left="108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1F" w:rsidRDefault="00E56C1F">
      <w:pPr>
        <w:spacing w:line="240" w:lineRule="auto"/>
      </w:pPr>
      <w:r>
        <w:separator/>
      </w:r>
    </w:p>
  </w:endnote>
  <w:endnote w:type="continuationSeparator" w:id="0">
    <w:p w:rsidR="00E56C1F" w:rsidRDefault="00E5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1F" w:rsidRDefault="00E56C1F" w:rsidP="0038624B">
    <w:pPr>
      <w:pStyle w:val="Footer"/>
      <w:jc w:val="right"/>
    </w:pPr>
  </w:p>
  <w:p w:rsidR="00E56C1F" w:rsidRDefault="00E56C1F" w:rsidP="00894B6D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1F" w:rsidRDefault="00E56C1F">
      <w:pPr>
        <w:spacing w:line="240" w:lineRule="auto"/>
      </w:pPr>
      <w:r>
        <w:separator/>
      </w:r>
    </w:p>
  </w:footnote>
  <w:footnote w:type="continuationSeparator" w:id="0">
    <w:p w:rsidR="00E56C1F" w:rsidRDefault="00E5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A"/>
    <w:rsid w:val="000236FE"/>
    <w:rsid w:val="000415C7"/>
    <w:rsid w:val="00082DBF"/>
    <w:rsid w:val="000A6230"/>
    <w:rsid w:val="000B7D4A"/>
    <w:rsid w:val="000C6AE8"/>
    <w:rsid w:val="000E4A16"/>
    <w:rsid w:val="000F0082"/>
    <w:rsid w:val="00154D27"/>
    <w:rsid w:val="001622AC"/>
    <w:rsid w:val="001662C4"/>
    <w:rsid w:val="001801FC"/>
    <w:rsid w:val="001A31A7"/>
    <w:rsid w:val="001A657F"/>
    <w:rsid w:val="001C5081"/>
    <w:rsid w:val="0021265B"/>
    <w:rsid w:val="00222B38"/>
    <w:rsid w:val="00232138"/>
    <w:rsid w:val="0023662E"/>
    <w:rsid w:val="00275575"/>
    <w:rsid w:val="00292D6F"/>
    <w:rsid w:val="002B4F55"/>
    <w:rsid w:val="002C616D"/>
    <w:rsid w:val="002E21C0"/>
    <w:rsid w:val="002F0985"/>
    <w:rsid w:val="0030049A"/>
    <w:rsid w:val="00321C72"/>
    <w:rsid w:val="003467BE"/>
    <w:rsid w:val="00372E7D"/>
    <w:rsid w:val="00373110"/>
    <w:rsid w:val="00384A5F"/>
    <w:rsid w:val="00384F62"/>
    <w:rsid w:val="0038624B"/>
    <w:rsid w:val="003C1FD9"/>
    <w:rsid w:val="003C78FF"/>
    <w:rsid w:val="003E6C6B"/>
    <w:rsid w:val="00402B79"/>
    <w:rsid w:val="004426FE"/>
    <w:rsid w:val="00444400"/>
    <w:rsid w:val="0045266B"/>
    <w:rsid w:val="00482C67"/>
    <w:rsid w:val="00483067"/>
    <w:rsid w:val="00491C36"/>
    <w:rsid w:val="004C5781"/>
    <w:rsid w:val="004D49DB"/>
    <w:rsid w:val="004D60F0"/>
    <w:rsid w:val="004E5534"/>
    <w:rsid w:val="004F584C"/>
    <w:rsid w:val="004F723A"/>
    <w:rsid w:val="00500ED5"/>
    <w:rsid w:val="00503DDE"/>
    <w:rsid w:val="005044C2"/>
    <w:rsid w:val="00550A33"/>
    <w:rsid w:val="005611EE"/>
    <w:rsid w:val="0057702B"/>
    <w:rsid w:val="00580FEE"/>
    <w:rsid w:val="0059742A"/>
    <w:rsid w:val="005A0CF1"/>
    <w:rsid w:val="005A491F"/>
    <w:rsid w:val="005B1A23"/>
    <w:rsid w:val="005F43B1"/>
    <w:rsid w:val="006301A4"/>
    <w:rsid w:val="0069135A"/>
    <w:rsid w:val="006A5F77"/>
    <w:rsid w:val="006B5EAF"/>
    <w:rsid w:val="00744ABB"/>
    <w:rsid w:val="00761E57"/>
    <w:rsid w:val="00762DEA"/>
    <w:rsid w:val="00765470"/>
    <w:rsid w:val="00784E35"/>
    <w:rsid w:val="00795C42"/>
    <w:rsid w:val="007C5D1C"/>
    <w:rsid w:val="007F7300"/>
    <w:rsid w:val="00817DFA"/>
    <w:rsid w:val="008266DE"/>
    <w:rsid w:val="00843832"/>
    <w:rsid w:val="00845DD4"/>
    <w:rsid w:val="008525CD"/>
    <w:rsid w:val="0086246B"/>
    <w:rsid w:val="00873B97"/>
    <w:rsid w:val="00894B6D"/>
    <w:rsid w:val="008A4DFA"/>
    <w:rsid w:val="008A51A5"/>
    <w:rsid w:val="008B5F97"/>
    <w:rsid w:val="008D2E4A"/>
    <w:rsid w:val="008D4597"/>
    <w:rsid w:val="008D5981"/>
    <w:rsid w:val="008E51F4"/>
    <w:rsid w:val="008F0CEE"/>
    <w:rsid w:val="00906494"/>
    <w:rsid w:val="00907659"/>
    <w:rsid w:val="009244C1"/>
    <w:rsid w:val="00924898"/>
    <w:rsid w:val="00957972"/>
    <w:rsid w:val="0097387C"/>
    <w:rsid w:val="00990123"/>
    <w:rsid w:val="009A4C28"/>
    <w:rsid w:val="009E5373"/>
    <w:rsid w:val="009F5529"/>
    <w:rsid w:val="00A40440"/>
    <w:rsid w:val="00A445A3"/>
    <w:rsid w:val="00A85BE9"/>
    <w:rsid w:val="00AB3E15"/>
    <w:rsid w:val="00B0680F"/>
    <w:rsid w:val="00B263D0"/>
    <w:rsid w:val="00B31E4E"/>
    <w:rsid w:val="00B36F41"/>
    <w:rsid w:val="00B40748"/>
    <w:rsid w:val="00B528A6"/>
    <w:rsid w:val="00B52CB7"/>
    <w:rsid w:val="00B61A8E"/>
    <w:rsid w:val="00B76EEF"/>
    <w:rsid w:val="00BA7B57"/>
    <w:rsid w:val="00BB26D4"/>
    <w:rsid w:val="00BC1C57"/>
    <w:rsid w:val="00BC76B6"/>
    <w:rsid w:val="00BD67CC"/>
    <w:rsid w:val="00BF2A60"/>
    <w:rsid w:val="00C06076"/>
    <w:rsid w:val="00C30B49"/>
    <w:rsid w:val="00C63C3A"/>
    <w:rsid w:val="00C717FB"/>
    <w:rsid w:val="00C77175"/>
    <w:rsid w:val="00CE4109"/>
    <w:rsid w:val="00CF5C7C"/>
    <w:rsid w:val="00CF78E3"/>
    <w:rsid w:val="00D12AEA"/>
    <w:rsid w:val="00D43B45"/>
    <w:rsid w:val="00D5446D"/>
    <w:rsid w:val="00D62DD4"/>
    <w:rsid w:val="00DE745F"/>
    <w:rsid w:val="00DF5ED1"/>
    <w:rsid w:val="00E02BF7"/>
    <w:rsid w:val="00E1061B"/>
    <w:rsid w:val="00E167BE"/>
    <w:rsid w:val="00E26521"/>
    <w:rsid w:val="00E37465"/>
    <w:rsid w:val="00E56C1F"/>
    <w:rsid w:val="00E56D5B"/>
    <w:rsid w:val="00E66946"/>
    <w:rsid w:val="00E873C3"/>
    <w:rsid w:val="00E95B73"/>
    <w:rsid w:val="00EA7AFC"/>
    <w:rsid w:val="00EB261B"/>
    <w:rsid w:val="00EB645F"/>
    <w:rsid w:val="00EC0B15"/>
    <w:rsid w:val="00ED4C0D"/>
    <w:rsid w:val="00ED73E9"/>
    <w:rsid w:val="00EF7E0B"/>
    <w:rsid w:val="00F0064A"/>
    <w:rsid w:val="00F10D43"/>
    <w:rsid w:val="00F1410C"/>
    <w:rsid w:val="00F15E95"/>
    <w:rsid w:val="00F431A1"/>
    <w:rsid w:val="00F63B85"/>
    <w:rsid w:val="00F645F5"/>
    <w:rsid w:val="00F726E1"/>
    <w:rsid w:val="00F84F36"/>
    <w:rsid w:val="00F858C5"/>
    <w:rsid w:val="00F86F6F"/>
    <w:rsid w:val="00FA3883"/>
    <w:rsid w:val="00FE0645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E48E"/>
  <w15:docId w15:val="{007A2C50-FC32-4C35-A153-0CCA304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1B"/>
    <w:pPr>
      <w:spacing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F723A"/>
    <w:rPr>
      <w:sz w:val="20"/>
      <w:szCs w:val="20"/>
    </w:rPr>
  </w:style>
  <w:style w:type="paragraph" w:customStyle="1" w:styleId="Default">
    <w:name w:val="Default"/>
    <w:rsid w:val="00E10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15"/>
  </w:style>
  <w:style w:type="paragraph" w:styleId="BalloonText">
    <w:name w:val="Balloon Text"/>
    <w:basedOn w:val="Normal"/>
    <w:link w:val="BalloonTextChar"/>
    <w:uiPriority w:val="99"/>
    <w:semiHidden/>
    <w:unhideWhenUsed/>
    <w:rsid w:val="00DF5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E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F62"/>
    <w:pPr>
      <w:ind w:left="720"/>
    </w:pPr>
  </w:style>
  <w:style w:type="character" w:styleId="Hyperlink">
    <w:name w:val="Hyperlink"/>
    <w:uiPriority w:val="99"/>
    <w:unhideWhenUsed/>
    <w:rsid w:val="003E6C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C72"/>
  </w:style>
  <w:style w:type="paragraph" w:customStyle="1" w:styleId="DefaultText">
    <w:name w:val="Default Text"/>
    <w:basedOn w:val="Normal"/>
    <w:rsid w:val="00FE0645"/>
    <w:pPr>
      <w:spacing w:line="240" w:lineRule="atLeast"/>
      <w:ind w:left="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E.Strout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eo.pfr@mai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A23C-0ACA-4480-9D56-032E4330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4647</CharactersWithSpaces>
  <SharedDoc>false</SharedDoc>
  <HLinks>
    <vt:vector size="12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mailto:dennis.smith@maine.gov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mailto:maureen.s.lathrop@maine.gov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Greenwood, Jean M</dc:creator>
  <cp:lastModifiedBy>Wismer, Don</cp:lastModifiedBy>
  <cp:revision>4</cp:revision>
  <cp:lastPrinted>2020-08-13T16:28:00Z</cp:lastPrinted>
  <dcterms:created xsi:type="dcterms:W3CDTF">2020-08-13T16:29:00Z</dcterms:created>
  <dcterms:modified xsi:type="dcterms:W3CDTF">2020-08-13T16:31:00Z</dcterms:modified>
</cp:coreProperties>
</file>