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0D40" w14:textId="77777777" w:rsidR="005F485D" w:rsidRPr="008D38A7" w:rsidRDefault="005F485D" w:rsidP="005F485D">
      <w:pPr>
        <w:rPr>
          <w:rFonts w:ascii="Times New Roman" w:hAnsi="Times New Roman"/>
          <w:b/>
          <w:sz w:val="22"/>
          <w:szCs w:val="22"/>
        </w:rPr>
      </w:pPr>
      <w:r w:rsidRPr="008D38A7">
        <w:rPr>
          <w:rFonts w:ascii="Times New Roman" w:hAnsi="Times New Roman"/>
          <w:b/>
          <w:sz w:val="22"/>
          <w:szCs w:val="22"/>
        </w:rPr>
        <w:t>65-407</w:t>
      </w:r>
      <w:r w:rsidRPr="008D38A7">
        <w:rPr>
          <w:rFonts w:ascii="Times New Roman" w:hAnsi="Times New Roman"/>
          <w:b/>
          <w:sz w:val="22"/>
          <w:szCs w:val="22"/>
        </w:rPr>
        <w:tab/>
      </w:r>
      <w:r w:rsidRPr="008D38A7">
        <w:rPr>
          <w:rFonts w:ascii="Times New Roman" w:hAnsi="Times New Roman"/>
          <w:b/>
          <w:sz w:val="22"/>
          <w:szCs w:val="22"/>
        </w:rPr>
        <w:tab/>
        <w:t>PUBLIC UTILITIES COMMISSION</w:t>
      </w:r>
    </w:p>
    <w:p w14:paraId="357F1BEE" w14:textId="77777777" w:rsidR="005F485D" w:rsidRPr="008D38A7" w:rsidRDefault="005F485D" w:rsidP="005F485D">
      <w:pPr>
        <w:rPr>
          <w:rFonts w:ascii="Times New Roman" w:hAnsi="Times New Roman"/>
          <w:b/>
          <w:sz w:val="22"/>
          <w:szCs w:val="22"/>
        </w:rPr>
      </w:pPr>
    </w:p>
    <w:p w14:paraId="685F3E78" w14:textId="71D87B7B" w:rsidR="005F485D" w:rsidRPr="008D38A7" w:rsidRDefault="005F485D" w:rsidP="005F485D">
      <w:pPr>
        <w:rPr>
          <w:rFonts w:ascii="Times New Roman" w:hAnsi="Times New Roman"/>
          <w:b/>
          <w:sz w:val="22"/>
          <w:szCs w:val="22"/>
        </w:rPr>
      </w:pPr>
      <w:r>
        <w:rPr>
          <w:rFonts w:ascii="Times New Roman" w:hAnsi="Times New Roman"/>
          <w:b/>
          <w:sz w:val="22"/>
          <w:szCs w:val="22"/>
        </w:rPr>
        <w:t>Chapter</w:t>
      </w:r>
      <w:r w:rsidRPr="008D38A7">
        <w:rPr>
          <w:rFonts w:ascii="Times New Roman" w:hAnsi="Times New Roman"/>
          <w:b/>
          <w:sz w:val="22"/>
          <w:szCs w:val="22"/>
        </w:rPr>
        <w:t xml:space="preserve"> 3</w:t>
      </w:r>
      <w:r w:rsidR="00E11D44">
        <w:rPr>
          <w:rFonts w:ascii="Times New Roman" w:hAnsi="Times New Roman"/>
          <w:b/>
          <w:sz w:val="22"/>
          <w:szCs w:val="22"/>
        </w:rPr>
        <w:t>28</w:t>
      </w:r>
      <w:r>
        <w:rPr>
          <w:rFonts w:ascii="Times New Roman" w:hAnsi="Times New Roman"/>
          <w:b/>
          <w:sz w:val="22"/>
          <w:szCs w:val="22"/>
        </w:rPr>
        <w:t>:</w:t>
      </w:r>
      <w:r>
        <w:rPr>
          <w:rFonts w:ascii="Times New Roman" w:hAnsi="Times New Roman"/>
          <w:b/>
          <w:sz w:val="22"/>
          <w:szCs w:val="22"/>
        </w:rPr>
        <w:tab/>
        <w:t>FUNDING SOURCE FOR INTERCONNECTION OMBUDSMAN</w:t>
      </w:r>
    </w:p>
    <w:p w14:paraId="28EC6699" w14:textId="77777777" w:rsidR="005F485D" w:rsidRPr="008D38A7" w:rsidRDefault="005F485D" w:rsidP="005F485D">
      <w:pPr>
        <w:pBdr>
          <w:bottom w:val="single" w:sz="4" w:space="1" w:color="auto"/>
        </w:pBdr>
        <w:rPr>
          <w:rFonts w:ascii="Times New Roman" w:hAnsi="Times New Roman"/>
          <w:sz w:val="22"/>
          <w:szCs w:val="22"/>
        </w:rPr>
      </w:pPr>
    </w:p>
    <w:p w14:paraId="1028CFBB" w14:textId="77777777" w:rsidR="005F485D" w:rsidRPr="008D38A7" w:rsidRDefault="005F485D" w:rsidP="005F485D">
      <w:pPr>
        <w:rPr>
          <w:rFonts w:ascii="Times New Roman" w:hAnsi="Times New Roman"/>
          <w:b/>
          <w:sz w:val="22"/>
          <w:szCs w:val="22"/>
        </w:rPr>
      </w:pPr>
    </w:p>
    <w:p w14:paraId="08B5EBBD" w14:textId="77777777" w:rsidR="005F485D" w:rsidRPr="008D38A7" w:rsidRDefault="005F485D" w:rsidP="005F485D">
      <w:pPr>
        <w:pStyle w:val="BodyTextIndent"/>
        <w:spacing w:after="0"/>
        <w:ind w:left="0"/>
        <w:rPr>
          <w:rFonts w:ascii="Times New Roman" w:hAnsi="Times New Roman"/>
          <w:sz w:val="22"/>
          <w:szCs w:val="22"/>
        </w:rPr>
      </w:pPr>
      <w:r w:rsidRPr="008D38A7">
        <w:rPr>
          <w:rFonts w:ascii="Times New Roman" w:hAnsi="Times New Roman"/>
          <w:b/>
          <w:sz w:val="22"/>
          <w:szCs w:val="22"/>
        </w:rPr>
        <w:t>SUMMARY:</w:t>
      </w:r>
      <w:r>
        <w:rPr>
          <w:rFonts w:ascii="Times New Roman" w:hAnsi="Times New Roman"/>
          <w:sz w:val="22"/>
          <w:szCs w:val="22"/>
        </w:rPr>
        <w:t xml:space="preserve"> </w:t>
      </w:r>
      <w:r w:rsidRPr="008D38A7">
        <w:rPr>
          <w:rFonts w:ascii="Times New Roman" w:hAnsi="Times New Roman"/>
          <w:sz w:val="22"/>
          <w:szCs w:val="22"/>
        </w:rPr>
        <w:t xml:space="preserve">This rule establishes </w:t>
      </w:r>
      <w:r>
        <w:rPr>
          <w:rFonts w:ascii="Times New Roman" w:hAnsi="Times New Roman"/>
          <w:sz w:val="22"/>
          <w:szCs w:val="22"/>
        </w:rPr>
        <w:t>a funding source and a mechanism for collecting those funds to support the position in the Commission for an interconnection ombudsman, as established by P.L. 2023, Chapter 307, as amended by P.L. 2024, Chapter 643, § WWW-1, codified at 35-A M.R.S. § 3474</w:t>
      </w:r>
      <w:r w:rsidRPr="008D38A7">
        <w:rPr>
          <w:rFonts w:ascii="Times New Roman" w:hAnsi="Times New Roman"/>
          <w:sz w:val="22"/>
          <w:szCs w:val="22"/>
        </w:rPr>
        <w:t>.</w:t>
      </w:r>
    </w:p>
    <w:p w14:paraId="46216AFB" w14:textId="77777777" w:rsidR="005F485D" w:rsidRDefault="005F485D" w:rsidP="005F485D">
      <w:pPr>
        <w:pBdr>
          <w:bottom w:val="single" w:sz="4" w:space="1" w:color="auto"/>
        </w:pBdr>
        <w:ind w:left="720" w:hanging="720"/>
        <w:rPr>
          <w:rFonts w:ascii="Times New Roman" w:hAnsi="Times New Roman"/>
          <w:sz w:val="22"/>
          <w:szCs w:val="22"/>
        </w:rPr>
      </w:pPr>
    </w:p>
    <w:p w14:paraId="0B11F74E" w14:textId="77777777" w:rsidR="005F485D" w:rsidRDefault="005F485D" w:rsidP="005F485D">
      <w:pPr>
        <w:ind w:left="720"/>
        <w:rPr>
          <w:rFonts w:ascii="Times New Roman" w:hAnsi="Times New Roman"/>
          <w:sz w:val="22"/>
          <w:szCs w:val="22"/>
        </w:rPr>
      </w:pPr>
    </w:p>
    <w:p w14:paraId="4B490FD3" w14:textId="77777777" w:rsidR="005F485D" w:rsidRPr="008D38A7" w:rsidRDefault="005F485D" w:rsidP="005F485D">
      <w:pPr>
        <w:ind w:left="720"/>
        <w:rPr>
          <w:rFonts w:ascii="Times New Roman" w:hAnsi="Times New Roman"/>
          <w:sz w:val="22"/>
          <w:szCs w:val="22"/>
        </w:rPr>
      </w:pPr>
    </w:p>
    <w:p w14:paraId="4CF0FD19" w14:textId="77777777" w:rsidR="005F485D" w:rsidRPr="008D38A7" w:rsidRDefault="005F485D" w:rsidP="005F485D">
      <w:pPr>
        <w:rPr>
          <w:rFonts w:ascii="Times New Roman" w:hAnsi="Times New Roman"/>
          <w:sz w:val="22"/>
          <w:szCs w:val="22"/>
        </w:rPr>
      </w:pPr>
      <w:r w:rsidRPr="008D38A7">
        <w:rPr>
          <w:rFonts w:ascii="Times New Roman" w:hAnsi="Times New Roman"/>
          <w:b/>
          <w:sz w:val="22"/>
          <w:szCs w:val="22"/>
        </w:rPr>
        <w:t>1.</w:t>
      </w:r>
      <w:r w:rsidRPr="008D38A7">
        <w:rPr>
          <w:rFonts w:ascii="Times New Roman" w:hAnsi="Times New Roman"/>
          <w:b/>
          <w:sz w:val="22"/>
          <w:szCs w:val="22"/>
        </w:rPr>
        <w:tab/>
      </w:r>
      <w:r>
        <w:rPr>
          <w:rFonts w:ascii="Times New Roman" w:hAnsi="Times New Roman"/>
          <w:b/>
          <w:caps/>
          <w:sz w:val="22"/>
          <w:szCs w:val="22"/>
        </w:rPr>
        <w:t>ESTABLISHMENT OF INTERCONNECTION OMBUDSMAN</w:t>
      </w:r>
    </w:p>
    <w:p w14:paraId="542A940E" w14:textId="77777777" w:rsidR="005F485D" w:rsidRPr="008D38A7" w:rsidRDefault="005F485D" w:rsidP="005F485D">
      <w:pPr>
        <w:ind w:left="720"/>
        <w:rPr>
          <w:rFonts w:ascii="Times New Roman" w:hAnsi="Times New Roman"/>
          <w:sz w:val="22"/>
          <w:szCs w:val="22"/>
        </w:rPr>
      </w:pPr>
    </w:p>
    <w:p w14:paraId="007EAD1D" w14:textId="77777777" w:rsidR="005F485D" w:rsidRPr="008D38A7" w:rsidRDefault="005F485D" w:rsidP="005F485D">
      <w:pPr>
        <w:ind w:left="720"/>
        <w:rPr>
          <w:rFonts w:ascii="Times New Roman" w:hAnsi="Times New Roman"/>
          <w:sz w:val="22"/>
          <w:szCs w:val="22"/>
        </w:rPr>
      </w:pPr>
      <w:r w:rsidRPr="008D38A7">
        <w:rPr>
          <w:rFonts w:ascii="Times New Roman" w:hAnsi="Times New Roman"/>
          <w:sz w:val="22"/>
          <w:szCs w:val="22"/>
        </w:rPr>
        <w:t>The</w:t>
      </w:r>
      <w:r>
        <w:rPr>
          <w:rFonts w:ascii="Times New Roman" w:hAnsi="Times New Roman"/>
          <w:sz w:val="22"/>
          <w:szCs w:val="22"/>
        </w:rPr>
        <w:t>re will be an interconnection ombudsman appointed by the Commission to assist with the interconnection of solar resources and energy storage systems pursuant to 35-A M.R.S. § 3474 and Chapter 324 of the Commission’s rules. The purpose of this rule is to set forth provisions relating to the funding of the position of an interconnection ombudsman.</w:t>
      </w:r>
    </w:p>
    <w:p w14:paraId="16C3E4B7" w14:textId="77777777" w:rsidR="005F485D" w:rsidRDefault="005F485D" w:rsidP="005F485D">
      <w:pPr>
        <w:ind w:left="720"/>
        <w:rPr>
          <w:rFonts w:ascii="Times New Roman" w:hAnsi="Times New Roman"/>
          <w:sz w:val="22"/>
          <w:szCs w:val="22"/>
        </w:rPr>
      </w:pPr>
    </w:p>
    <w:p w14:paraId="7429F647" w14:textId="77777777" w:rsidR="005F485D" w:rsidRPr="008D38A7" w:rsidRDefault="005F485D" w:rsidP="005F485D">
      <w:pPr>
        <w:ind w:left="720"/>
        <w:rPr>
          <w:rFonts w:ascii="Times New Roman" w:hAnsi="Times New Roman"/>
          <w:sz w:val="22"/>
          <w:szCs w:val="22"/>
        </w:rPr>
      </w:pPr>
    </w:p>
    <w:p w14:paraId="08D9F72C" w14:textId="77777777" w:rsidR="005F485D" w:rsidRPr="008D38A7" w:rsidRDefault="005F485D" w:rsidP="005F485D">
      <w:pPr>
        <w:rPr>
          <w:rFonts w:ascii="Times New Roman" w:hAnsi="Times New Roman"/>
          <w:b/>
          <w:caps/>
          <w:sz w:val="22"/>
          <w:szCs w:val="22"/>
        </w:rPr>
      </w:pPr>
      <w:r w:rsidRPr="008D38A7">
        <w:rPr>
          <w:rFonts w:ascii="Times New Roman" w:hAnsi="Times New Roman"/>
          <w:b/>
          <w:sz w:val="22"/>
          <w:szCs w:val="22"/>
        </w:rPr>
        <w:t>2.</w:t>
      </w:r>
      <w:r w:rsidRPr="008D38A7">
        <w:rPr>
          <w:rFonts w:ascii="Times New Roman" w:hAnsi="Times New Roman"/>
          <w:b/>
          <w:sz w:val="22"/>
          <w:szCs w:val="22"/>
        </w:rPr>
        <w:tab/>
      </w:r>
      <w:r>
        <w:rPr>
          <w:rFonts w:ascii="Times New Roman" w:hAnsi="Times New Roman"/>
          <w:b/>
          <w:caps/>
          <w:sz w:val="22"/>
          <w:szCs w:val="22"/>
        </w:rPr>
        <w:t>INTERCONNECTION OMBUDSMAN FUND</w:t>
      </w:r>
    </w:p>
    <w:p w14:paraId="2CEC081C" w14:textId="77777777" w:rsidR="005F485D" w:rsidRPr="008D38A7" w:rsidRDefault="005F485D" w:rsidP="005F485D">
      <w:pPr>
        <w:ind w:left="720"/>
        <w:rPr>
          <w:rFonts w:ascii="Times New Roman" w:hAnsi="Times New Roman"/>
          <w:b/>
          <w:sz w:val="22"/>
          <w:szCs w:val="22"/>
        </w:rPr>
      </w:pPr>
    </w:p>
    <w:p w14:paraId="75FFEBB1" w14:textId="77777777" w:rsidR="005F485D" w:rsidRDefault="005F485D" w:rsidP="005F485D">
      <w:pPr>
        <w:pStyle w:val="BodyTextIndent2"/>
        <w:numPr>
          <w:ilvl w:val="0"/>
          <w:numId w:val="1"/>
        </w:numPr>
        <w:tabs>
          <w:tab w:val="left" w:pos="-450"/>
        </w:tabs>
        <w:spacing w:line="240" w:lineRule="auto"/>
        <w:ind w:left="1440" w:hanging="720"/>
        <w:rPr>
          <w:rFonts w:ascii="Times New Roman" w:hAnsi="Times New Roman"/>
          <w:sz w:val="22"/>
          <w:szCs w:val="22"/>
        </w:rPr>
      </w:pPr>
      <w:r w:rsidRPr="00F957E3">
        <w:rPr>
          <w:rFonts w:ascii="Times New Roman" w:hAnsi="Times New Roman"/>
          <w:sz w:val="22"/>
          <w:szCs w:val="22"/>
        </w:rPr>
        <w:t xml:space="preserve">Establishment of the Fund. The Commission will create a </w:t>
      </w:r>
      <w:proofErr w:type="spellStart"/>
      <w:r w:rsidRPr="00F957E3">
        <w:rPr>
          <w:rFonts w:ascii="Times New Roman" w:hAnsi="Times New Roman"/>
          <w:sz w:val="22"/>
          <w:szCs w:val="22"/>
        </w:rPr>
        <w:t>nonlapsing</w:t>
      </w:r>
      <w:proofErr w:type="spellEnd"/>
      <w:r w:rsidRPr="00F957E3">
        <w:rPr>
          <w:rFonts w:ascii="Times New Roman" w:hAnsi="Times New Roman"/>
          <w:sz w:val="22"/>
          <w:szCs w:val="22"/>
        </w:rPr>
        <w:t xml:space="preserve"> fund for the purpose of funding the work of an interconnection ombudsman, who will be a member of the Commission’s Staff. This fund will be referred to as the “Interconnection Ombudsman Fee Fund.” </w:t>
      </w:r>
    </w:p>
    <w:p w14:paraId="7601D71D" w14:textId="77777777" w:rsidR="005F485D" w:rsidRDefault="005F485D" w:rsidP="005F485D">
      <w:pPr>
        <w:pStyle w:val="BodyTextIndent2"/>
        <w:tabs>
          <w:tab w:val="left" w:pos="-450"/>
        </w:tabs>
        <w:spacing w:line="240" w:lineRule="auto"/>
        <w:ind w:firstLine="0"/>
        <w:rPr>
          <w:rFonts w:ascii="Times New Roman" w:hAnsi="Times New Roman"/>
          <w:sz w:val="22"/>
          <w:szCs w:val="22"/>
        </w:rPr>
      </w:pPr>
    </w:p>
    <w:p w14:paraId="3FA67071" w14:textId="77777777" w:rsidR="005F485D" w:rsidRPr="00F957E3" w:rsidRDefault="005F485D" w:rsidP="005F485D">
      <w:pPr>
        <w:pStyle w:val="BodyTextIndent2"/>
        <w:tabs>
          <w:tab w:val="left" w:pos="-450"/>
        </w:tabs>
        <w:spacing w:line="240" w:lineRule="auto"/>
        <w:ind w:firstLine="0"/>
        <w:rPr>
          <w:rFonts w:ascii="Times New Roman" w:hAnsi="Times New Roman"/>
          <w:sz w:val="22"/>
          <w:szCs w:val="22"/>
        </w:rPr>
      </w:pPr>
      <w:r w:rsidRPr="00F957E3">
        <w:rPr>
          <w:rFonts w:ascii="Times New Roman" w:hAnsi="Times New Roman"/>
          <w:sz w:val="22"/>
          <w:szCs w:val="22"/>
        </w:rPr>
        <w:t xml:space="preserve">The Commission will appoint an ombudsman who has the expertise and experience as described in 35-A M.R.S. § 3474(4)(A). This position will be partially funded by this fund </w:t>
      </w:r>
      <w:r>
        <w:rPr>
          <w:rFonts w:ascii="Times New Roman" w:hAnsi="Times New Roman"/>
          <w:sz w:val="22"/>
          <w:szCs w:val="22"/>
        </w:rPr>
        <w:t>with fees collected pursuant to subsection 2(B) of this chapter. A</w:t>
      </w:r>
      <w:r w:rsidRPr="00F957E3">
        <w:rPr>
          <w:rFonts w:ascii="Times New Roman" w:hAnsi="Times New Roman"/>
          <w:sz w:val="22"/>
          <w:szCs w:val="22"/>
        </w:rPr>
        <w:t>ny remaining amount needed to support the position will be covered by the Commission’s regulatory funding sources.</w:t>
      </w:r>
    </w:p>
    <w:p w14:paraId="6F347118" w14:textId="77777777" w:rsidR="005F485D" w:rsidRDefault="005F485D" w:rsidP="005F485D">
      <w:pPr>
        <w:pStyle w:val="ListParagraph"/>
        <w:rPr>
          <w:rFonts w:ascii="Times New Roman" w:hAnsi="Times New Roman"/>
          <w:sz w:val="22"/>
          <w:szCs w:val="22"/>
        </w:rPr>
      </w:pPr>
    </w:p>
    <w:p w14:paraId="49E3A1F3" w14:textId="77777777" w:rsidR="005F485D" w:rsidRDefault="005F485D" w:rsidP="005F485D">
      <w:pPr>
        <w:pStyle w:val="BodyTextIndent2"/>
        <w:numPr>
          <w:ilvl w:val="0"/>
          <w:numId w:val="1"/>
        </w:numPr>
        <w:tabs>
          <w:tab w:val="left" w:pos="-450"/>
        </w:tabs>
        <w:spacing w:line="240" w:lineRule="auto"/>
        <w:rPr>
          <w:rFonts w:ascii="Times New Roman" w:hAnsi="Times New Roman"/>
          <w:sz w:val="22"/>
          <w:szCs w:val="22"/>
        </w:rPr>
      </w:pPr>
      <w:r>
        <w:rPr>
          <w:rFonts w:ascii="Times New Roman" w:hAnsi="Times New Roman"/>
          <w:sz w:val="22"/>
          <w:szCs w:val="22"/>
        </w:rPr>
        <w:t>Establishment of Fees to be Paid by Interconnection Customers</w:t>
      </w:r>
    </w:p>
    <w:p w14:paraId="3CC8C769" w14:textId="77777777" w:rsidR="005F485D" w:rsidRDefault="005F485D" w:rsidP="005F485D">
      <w:pPr>
        <w:pStyle w:val="ListParagraph"/>
        <w:rPr>
          <w:rFonts w:ascii="Times New Roman" w:hAnsi="Times New Roman"/>
          <w:sz w:val="22"/>
          <w:szCs w:val="22"/>
        </w:rPr>
      </w:pPr>
    </w:p>
    <w:p w14:paraId="7D96E2B4" w14:textId="77777777" w:rsidR="005F485D" w:rsidRDefault="005F485D" w:rsidP="005F485D">
      <w:pPr>
        <w:pStyle w:val="BodyTextIndent2"/>
        <w:numPr>
          <w:ilvl w:val="0"/>
          <w:numId w:val="2"/>
        </w:numPr>
        <w:tabs>
          <w:tab w:val="left" w:pos="-450"/>
        </w:tabs>
        <w:spacing w:line="240" w:lineRule="auto"/>
        <w:rPr>
          <w:rFonts w:ascii="Times New Roman" w:hAnsi="Times New Roman"/>
          <w:sz w:val="22"/>
          <w:szCs w:val="22"/>
        </w:rPr>
      </w:pPr>
      <w:r>
        <w:rPr>
          <w:rFonts w:ascii="Times New Roman" w:hAnsi="Times New Roman"/>
          <w:sz w:val="22"/>
          <w:szCs w:val="22"/>
        </w:rPr>
        <w:t xml:space="preserve">The Commission establishes an “Interconnection Ombudsman Fee” that must be paid by any customer of an investor-owned transmission and distribution utility seeking to interconnect a solar resource or an energy storage system to </w:t>
      </w:r>
      <w:r w:rsidRPr="00A96579">
        <w:rPr>
          <w:rFonts w:ascii="Times New Roman" w:hAnsi="Times New Roman"/>
          <w:sz w:val="22"/>
          <w:szCs w:val="22"/>
        </w:rPr>
        <w:t xml:space="preserve">the utility’s </w:t>
      </w:r>
      <w:r>
        <w:rPr>
          <w:rFonts w:ascii="Times New Roman" w:hAnsi="Times New Roman"/>
          <w:sz w:val="22"/>
          <w:szCs w:val="22"/>
        </w:rPr>
        <w:t>distribution system pursuant to Chapter 324 of the Commission’s rules.</w:t>
      </w:r>
    </w:p>
    <w:p w14:paraId="2084123F"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3576950F" w14:textId="03FA0117" w:rsidR="005F485D" w:rsidRPr="00815E49" w:rsidRDefault="005F485D" w:rsidP="005F485D">
      <w:pPr>
        <w:pStyle w:val="BodyTextIndent2"/>
        <w:numPr>
          <w:ilvl w:val="0"/>
          <w:numId w:val="2"/>
        </w:numPr>
        <w:tabs>
          <w:tab w:val="left" w:pos="-450"/>
        </w:tabs>
        <w:spacing w:line="240" w:lineRule="auto"/>
        <w:rPr>
          <w:rFonts w:ascii="Times New Roman" w:hAnsi="Times New Roman"/>
          <w:sz w:val="22"/>
          <w:szCs w:val="22"/>
        </w:rPr>
      </w:pPr>
      <w:r w:rsidRPr="00815E49">
        <w:rPr>
          <w:rFonts w:ascii="Times New Roman" w:hAnsi="Times New Roman"/>
          <w:sz w:val="22"/>
          <w:szCs w:val="22"/>
        </w:rPr>
        <w:t>For purposes of this Chapter, a “solar resource” is a resource as defined in 35-A M.R.S. § 3210-C(1)(E) that uses solar power.</w:t>
      </w:r>
    </w:p>
    <w:p w14:paraId="214123D0"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5B07A15A" w14:textId="77777777" w:rsidR="005F485D" w:rsidRDefault="005F485D" w:rsidP="005F485D">
      <w:pPr>
        <w:pStyle w:val="BodyTextIndent2"/>
        <w:numPr>
          <w:ilvl w:val="0"/>
          <w:numId w:val="2"/>
        </w:numPr>
        <w:tabs>
          <w:tab w:val="left" w:pos="-450"/>
        </w:tabs>
        <w:spacing w:line="240" w:lineRule="auto"/>
        <w:rPr>
          <w:rFonts w:ascii="Times New Roman" w:hAnsi="Times New Roman"/>
          <w:sz w:val="22"/>
          <w:szCs w:val="22"/>
        </w:rPr>
      </w:pPr>
      <w:r>
        <w:rPr>
          <w:rFonts w:ascii="Times New Roman" w:hAnsi="Times New Roman"/>
          <w:sz w:val="22"/>
          <w:szCs w:val="22"/>
        </w:rPr>
        <w:t xml:space="preserve">For purposes of this Chapter, an “energy storage system” has the meaning set forth in 35-A M.R.S. § 3481(6), whether or not such energy storage system is collocated with a solar resource. </w:t>
      </w:r>
    </w:p>
    <w:p w14:paraId="4EC5DBC7"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178D3238" w14:textId="77777777" w:rsidR="005F485D" w:rsidRDefault="005F485D" w:rsidP="005F485D">
      <w:pPr>
        <w:pStyle w:val="BodyTextIndent2"/>
        <w:numPr>
          <w:ilvl w:val="0"/>
          <w:numId w:val="2"/>
        </w:numPr>
        <w:tabs>
          <w:tab w:val="left" w:pos="-450"/>
        </w:tabs>
        <w:spacing w:line="240" w:lineRule="auto"/>
        <w:rPr>
          <w:rFonts w:ascii="Times New Roman" w:hAnsi="Times New Roman"/>
          <w:sz w:val="22"/>
          <w:szCs w:val="22"/>
        </w:rPr>
      </w:pPr>
      <w:r>
        <w:rPr>
          <w:rFonts w:ascii="Times New Roman" w:hAnsi="Times New Roman"/>
          <w:sz w:val="22"/>
          <w:szCs w:val="22"/>
        </w:rPr>
        <w:t>The utility must collect the fee at the time the interconnecting customer submits an application for interconnection.</w:t>
      </w:r>
    </w:p>
    <w:p w14:paraId="1ECC486A" w14:textId="77777777" w:rsidR="005F485D" w:rsidRDefault="005F485D" w:rsidP="005F485D">
      <w:pPr>
        <w:pStyle w:val="ListParagraph"/>
        <w:rPr>
          <w:rFonts w:ascii="Times New Roman" w:hAnsi="Times New Roman"/>
          <w:sz w:val="22"/>
          <w:szCs w:val="22"/>
        </w:rPr>
      </w:pPr>
    </w:p>
    <w:p w14:paraId="1E02DB95"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6EAEAB22" w14:textId="44187A5E" w:rsidR="005F485D" w:rsidRDefault="005F485D" w:rsidP="005F485D">
      <w:pPr>
        <w:pStyle w:val="BodyTextIndent2"/>
        <w:numPr>
          <w:ilvl w:val="0"/>
          <w:numId w:val="2"/>
        </w:numPr>
        <w:tabs>
          <w:tab w:val="left" w:pos="-450"/>
        </w:tabs>
        <w:spacing w:line="240" w:lineRule="auto"/>
        <w:rPr>
          <w:rFonts w:ascii="Times New Roman" w:hAnsi="Times New Roman"/>
          <w:sz w:val="22"/>
          <w:szCs w:val="22"/>
        </w:rPr>
      </w:pPr>
      <w:r>
        <w:rPr>
          <w:rFonts w:ascii="Times New Roman" w:hAnsi="Times New Roman"/>
          <w:sz w:val="22"/>
          <w:szCs w:val="22"/>
        </w:rPr>
        <w:lastRenderedPageBreak/>
        <w:t xml:space="preserve">The amount of the fee will be </w:t>
      </w:r>
      <w:r w:rsidR="00990E6E" w:rsidRPr="00A80FE4">
        <w:rPr>
          <w:rFonts w:ascii="Times New Roman" w:hAnsi="Times New Roman"/>
          <w:sz w:val="22"/>
          <w:szCs w:val="22"/>
        </w:rPr>
        <w:t>$40</w:t>
      </w:r>
      <w:r w:rsidR="00990E6E">
        <w:rPr>
          <w:rFonts w:ascii="Times New Roman" w:hAnsi="Times New Roman"/>
          <w:sz w:val="22"/>
          <w:szCs w:val="22"/>
        </w:rPr>
        <w:t xml:space="preserve"> </w:t>
      </w:r>
      <w:r>
        <w:rPr>
          <w:rFonts w:ascii="Times New Roman" w:hAnsi="Times New Roman"/>
          <w:sz w:val="22"/>
          <w:szCs w:val="22"/>
        </w:rPr>
        <w:t>per interconnection application.</w:t>
      </w:r>
    </w:p>
    <w:p w14:paraId="3DE8268C"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0E1B919E" w14:textId="77777777" w:rsidR="005F485D" w:rsidRDefault="005F485D" w:rsidP="005F485D">
      <w:pPr>
        <w:pStyle w:val="BodyTextIndent2"/>
        <w:numPr>
          <w:ilvl w:val="0"/>
          <w:numId w:val="2"/>
        </w:numPr>
        <w:tabs>
          <w:tab w:val="left" w:pos="-450"/>
        </w:tabs>
        <w:spacing w:line="240" w:lineRule="auto"/>
        <w:rPr>
          <w:rFonts w:ascii="Times New Roman" w:hAnsi="Times New Roman"/>
          <w:sz w:val="22"/>
          <w:szCs w:val="22"/>
        </w:rPr>
      </w:pPr>
      <w:r>
        <w:rPr>
          <w:rFonts w:ascii="Times New Roman" w:hAnsi="Times New Roman"/>
          <w:sz w:val="22"/>
          <w:szCs w:val="22"/>
        </w:rPr>
        <w:t>An application for interconnection will not be considered complete until the Interconnection Ombudsman Fee has been received by the utility.</w:t>
      </w:r>
    </w:p>
    <w:p w14:paraId="52AE1C2F" w14:textId="77777777" w:rsidR="005F485D" w:rsidRDefault="005F485D" w:rsidP="005F485D">
      <w:pPr>
        <w:pStyle w:val="ListParagraph"/>
        <w:rPr>
          <w:rFonts w:ascii="Times New Roman" w:hAnsi="Times New Roman"/>
          <w:sz w:val="22"/>
          <w:szCs w:val="22"/>
        </w:rPr>
      </w:pPr>
    </w:p>
    <w:p w14:paraId="7C7C2358" w14:textId="77777777" w:rsidR="005F485D" w:rsidRDefault="005F485D" w:rsidP="005F485D">
      <w:pPr>
        <w:pStyle w:val="BodyTextIndent2"/>
        <w:numPr>
          <w:ilvl w:val="0"/>
          <w:numId w:val="1"/>
        </w:numPr>
        <w:tabs>
          <w:tab w:val="left" w:pos="-450"/>
        </w:tabs>
        <w:spacing w:line="240" w:lineRule="auto"/>
        <w:ind w:left="1440" w:hanging="720"/>
        <w:rPr>
          <w:rFonts w:ascii="Times New Roman" w:hAnsi="Times New Roman"/>
          <w:sz w:val="22"/>
          <w:szCs w:val="22"/>
        </w:rPr>
      </w:pPr>
      <w:r>
        <w:rPr>
          <w:rFonts w:ascii="Times New Roman" w:hAnsi="Times New Roman"/>
          <w:sz w:val="22"/>
          <w:szCs w:val="22"/>
        </w:rPr>
        <w:t xml:space="preserve">Remittance of Interconnection Ombudsman Fees. </w:t>
      </w:r>
    </w:p>
    <w:p w14:paraId="4164D2DE" w14:textId="77777777" w:rsidR="005F485D" w:rsidRDefault="005F485D" w:rsidP="005F485D">
      <w:pPr>
        <w:pStyle w:val="BodyTextIndent2"/>
        <w:tabs>
          <w:tab w:val="left" w:pos="-450"/>
        </w:tabs>
        <w:spacing w:line="240" w:lineRule="auto"/>
        <w:ind w:firstLine="0"/>
        <w:rPr>
          <w:rFonts w:ascii="Times New Roman" w:hAnsi="Times New Roman"/>
          <w:sz w:val="22"/>
          <w:szCs w:val="22"/>
        </w:rPr>
      </w:pPr>
    </w:p>
    <w:p w14:paraId="53FA57B4" w14:textId="75B7FBE8" w:rsidR="005F485D" w:rsidRPr="00E11D44" w:rsidRDefault="00921D3A" w:rsidP="005F485D">
      <w:pPr>
        <w:pStyle w:val="BodyTextIndent2"/>
        <w:numPr>
          <w:ilvl w:val="0"/>
          <w:numId w:val="3"/>
        </w:numPr>
        <w:tabs>
          <w:tab w:val="left" w:pos="-450"/>
        </w:tabs>
        <w:spacing w:line="240" w:lineRule="auto"/>
        <w:rPr>
          <w:rFonts w:ascii="Times New Roman" w:hAnsi="Times New Roman"/>
          <w:sz w:val="22"/>
          <w:szCs w:val="22"/>
        </w:rPr>
      </w:pPr>
      <w:r w:rsidRPr="00A80FE4">
        <w:rPr>
          <w:rFonts w:ascii="Times New Roman" w:hAnsi="Times New Roman"/>
          <w:sz w:val="22"/>
          <w:szCs w:val="22"/>
        </w:rPr>
        <w:t xml:space="preserve">The transmission and distribution utility must remit all </w:t>
      </w:r>
      <w:r w:rsidR="005033C9" w:rsidRPr="00A80FE4">
        <w:rPr>
          <w:rFonts w:ascii="Times New Roman" w:hAnsi="Times New Roman"/>
          <w:sz w:val="22"/>
          <w:szCs w:val="22"/>
        </w:rPr>
        <w:t xml:space="preserve">Interconnection Ombudsman Fees it has collected </w:t>
      </w:r>
      <w:r w:rsidR="009B4D51" w:rsidRPr="00A80FE4">
        <w:rPr>
          <w:rFonts w:ascii="Times New Roman" w:hAnsi="Times New Roman"/>
          <w:sz w:val="22"/>
          <w:szCs w:val="22"/>
        </w:rPr>
        <w:t xml:space="preserve">to the Commission </w:t>
      </w:r>
      <w:r w:rsidR="00501ED1" w:rsidRPr="00A80FE4">
        <w:rPr>
          <w:rFonts w:ascii="Times New Roman" w:hAnsi="Times New Roman"/>
          <w:sz w:val="22"/>
          <w:szCs w:val="22"/>
        </w:rPr>
        <w:t>on a quarterly basis. The collected fees must be remitted no later than the 15</w:t>
      </w:r>
      <w:r w:rsidR="00501ED1" w:rsidRPr="00A80FE4">
        <w:rPr>
          <w:rFonts w:ascii="Times New Roman" w:hAnsi="Times New Roman"/>
          <w:sz w:val="22"/>
          <w:szCs w:val="22"/>
          <w:vertAlign w:val="superscript"/>
        </w:rPr>
        <w:t>th</w:t>
      </w:r>
      <w:r w:rsidR="00501ED1" w:rsidRPr="00A80FE4">
        <w:rPr>
          <w:rFonts w:ascii="Times New Roman" w:hAnsi="Times New Roman"/>
          <w:sz w:val="22"/>
          <w:szCs w:val="22"/>
        </w:rPr>
        <w:t xml:space="preserve"> day of the final month of each quarter. </w:t>
      </w:r>
      <w:r w:rsidR="00F46212" w:rsidRPr="00A80FE4">
        <w:rPr>
          <w:rFonts w:ascii="Times New Roman" w:hAnsi="Times New Roman"/>
          <w:sz w:val="22"/>
          <w:szCs w:val="22"/>
        </w:rPr>
        <w:t xml:space="preserve">The </w:t>
      </w:r>
      <w:r w:rsidR="007E7260" w:rsidRPr="00A80FE4">
        <w:rPr>
          <w:rFonts w:ascii="Times New Roman" w:hAnsi="Times New Roman"/>
          <w:sz w:val="22"/>
          <w:szCs w:val="22"/>
        </w:rPr>
        <w:t xml:space="preserve">transmission and distribution utility will include a cover letter </w:t>
      </w:r>
      <w:r w:rsidR="007E7260" w:rsidRPr="00E11D44">
        <w:rPr>
          <w:rFonts w:ascii="Times New Roman" w:hAnsi="Times New Roman"/>
          <w:sz w:val="22"/>
          <w:szCs w:val="22"/>
        </w:rPr>
        <w:t xml:space="preserve">identifying the funds as being remitted </w:t>
      </w:r>
      <w:r w:rsidR="00102098" w:rsidRPr="00E11D44">
        <w:rPr>
          <w:rFonts w:ascii="Times New Roman" w:hAnsi="Times New Roman"/>
          <w:sz w:val="22"/>
          <w:szCs w:val="22"/>
        </w:rPr>
        <w:t>to the Interconnection Ombudsman Fee.</w:t>
      </w:r>
    </w:p>
    <w:p w14:paraId="4603720D"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0D3B3883" w14:textId="77777777" w:rsidR="005F485D" w:rsidRPr="00895741" w:rsidRDefault="005F485D" w:rsidP="005F485D">
      <w:pPr>
        <w:pStyle w:val="BodyTextIndent2"/>
        <w:numPr>
          <w:ilvl w:val="0"/>
          <w:numId w:val="3"/>
        </w:numPr>
        <w:tabs>
          <w:tab w:val="left" w:pos="-450"/>
        </w:tabs>
        <w:spacing w:line="240" w:lineRule="auto"/>
        <w:rPr>
          <w:rFonts w:ascii="Times New Roman" w:hAnsi="Times New Roman"/>
          <w:sz w:val="22"/>
          <w:szCs w:val="22"/>
        </w:rPr>
      </w:pPr>
      <w:r w:rsidRPr="00895741">
        <w:rPr>
          <w:rFonts w:ascii="Times New Roman" w:hAnsi="Times New Roman"/>
          <w:sz w:val="22"/>
          <w:szCs w:val="22"/>
        </w:rPr>
        <w:t>The Commission will hold all Interconnection Ombudsman Fees remitted by the transmission and distribution utilities in the Interconnection Ombudsman Fee Fund. This fund will be used solely for the purpose of funding the interconnection ombudsman position.</w:t>
      </w:r>
    </w:p>
    <w:p w14:paraId="33F3C09F" w14:textId="77777777" w:rsidR="005F485D" w:rsidRDefault="005F485D" w:rsidP="005F485D">
      <w:pPr>
        <w:pStyle w:val="BodyTextIndent2"/>
        <w:tabs>
          <w:tab w:val="left" w:pos="-450"/>
        </w:tabs>
        <w:spacing w:line="240" w:lineRule="auto"/>
        <w:ind w:left="2160" w:firstLine="0"/>
        <w:rPr>
          <w:rFonts w:ascii="Times New Roman" w:hAnsi="Times New Roman"/>
          <w:sz w:val="22"/>
          <w:szCs w:val="22"/>
        </w:rPr>
      </w:pPr>
    </w:p>
    <w:p w14:paraId="29317518" w14:textId="77777777" w:rsidR="005F485D" w:rsidRDefault="005F485D" w:rsidP="005F485D">
      <w:pPr>
        <w:pStyle w:val="BodyTextIndent2"/>
        <w:numPr>
          <w:ilvl w:val="0"/>
          <w:numId w:val="3"/>
        </w:numPr>
        <w:tabs>
          <w:tab w:val="left" w:pos="-450"/>
        </w:tabs>
        <w:spacing w:line="240" w:lineRule="auto"/>
        <w:rPr>
          <w:rFonts w:ascii="Times New Roman" w:hAnsi="Times New Roman"/>
          <w:sz w:val="22"/>
          <w:szCs w:val="22"/>
        </w:rPr>
      </w:pPr>
      <w:r w:rsidRPr="0051631E">
        <w:rPr>
          <w:rFonts w:ascii="Times New Roman" w:hAnsi="Times New Roman"/>
          <w:sz w:val="22"/>
          <w:szCs w:val="22"/>
        </w:rPr>
        <w:t xml:space="preserve">The Commission may accept contributions from public and private sources or from grants or other sources of funding from the federal government into the Interconnection Ombudsman </w:t>
      </w:r>
      <w:r>
        <w:rPr>
          <w:rFonts w:ascii="Times New Roman" w:hAnsi="Times New Roman"/>
          <w:sz w:val="22"/>
          <w:szCs w:val="22"/>
        </w:rPr>
        <w:t xml:space="preserve">Fee </w:t>
      </w:r>
      <w:r w:rsidRPr="0051631E">
        <w:rPr>
          <w:rFonts w:ascii="Times New Roman" w:hAnsi="Times New Roman"/>
          <w:sz w:val="22"/>
          <w:szCs w:val="22"/>
        </w:rPr>
        <w:t xml:space="preserve">Fund. </w:t>
      </w:r>
    </w:p>
    <w:p w14:paraId="6965F1AF" w14:textId="77777777" w:rsidR="005F485D" w:rsidRDefault="005F485D" w:rsidP="005F485D">
      <w:pPr>
        <w:pStyle w:val="ListParagraph"/>
        <w:rPr>
          <w:rFonts w:ascii="Times New Roman" w:hAnsi="Times New Roman"/>
          <w:sz w:val="22"/>
          <w:szCs w:val="22"/>
        </w:rPr>
      </w:pPr>
    </w:p>
    <w:p w14:paraId="06F5A9DC" w14:textId="77777777" w:rsidR="005F485D" w:rsidRDefault="005F485D" w:rsidP="005F485D">
      <w:pPr>
        <w:pStyle w:val="BodyTextIndent2"/>
        <w:numPr>
          <w:ilvl w:val="0"/>
          <w:numId w:val="3"/>
        </w:numPr>
        <w:tabs>
          <w:tab w:val="left" w:pos="-450"/>
        </w:tabs>
        <w:spacing w:line="240" w:lineRule="auto"/>
        <w:rPr>
          <w:rFonts w:ascii="Times New Roman" w:hAnsi="Times New Roman"/>
          <w:sz w:val="22"/>
          <w:szCs w:val="22"/>
        </w:rPr>
      </w:pPr>
      <w:r>
        <w:rPr>
          <w:rFonts w:ascii="Times New Roman" w:hAnsi="Times New Roman"/>
          <w:sz w:val="22"/>
          <w:szCs w:val="22"/>
        </w:rPr>
        <w:t xml:space="preserve">Within 30 days of the close of the calendar year, that is, by January 30 each year, the transmission and distribution utilities will submit a report providing the following information: </w:t>
      </w:r>
    </w:p>
    <w:p w14:paraId="198203E3" w14:textId="77777777" w:rsidR="005F485D" w:rsidRDefault="005F485D" w:rsidP="005F485D">
      <w:pPr>
        <w:pStyle w:val="ListParagraph"/>
        <w:rPr>
          <w:rFonts w:ascii="Times New Roman" w:hAnsi="Times New Roman"/>
          <w:sz w:val="22"/>
          <w:szCs w:val="22"/>
        </w:rPr>
      </w:pPr>
    </w:p>
    <w:p w14:paraId="2BDBE053" w14:textId="77777777" w:rsidR="005F485D" w:rsidRDefault="005F485D" w:rsidP="005F485D">
      <w:pPr>
        <w:pStyle w:val="BodyTextIndent2"/>
        <w:numPr>
          <w:ilvl w:val="3"/>
          <w:numId w:val="3"/>
        </w:numPr>
        <w:tabs>
          <w:tab w:val="left" w:pos="-450"/>
        </w:tabs>
        <w:spacing w:line="240" w:lineRule="auto"/>
        <w:rPr>
          <w:rFonts w:ascii="Times New Roman" w:hAnsi="Times New Roman"/>
          <w:sz w:val="22"/>
          <w:szCs w:val="22"/>
        </w:rPr>
      </w:pPr>
      <w:r>
        <w:rPr>
          <w:rFonts w:ascii="Times New Roman" w:hAnsi="Times New Roman"/>
          <w:sz w:val="22"/>
          <w:szCs w:val="22"/>
        </w:rPr>
        <w:t>The number of solar resource and energy storage system applications for interconnection received during the previous calendar year;</w:t>
      </w:r>
    </w:p>
    <w:p w14:paraId="2D39A738" w14:textId="77777777" w:rsidR="005F485D" w:rsidRDefault="005F485D" w:rsidP="005F485D">
      <w:pPr>
        <w:pStyle w:val="BodyTextIndent2"/>
        <w:numPr>
          <w:ilvl w:val="3"/>
          <w:numId w:val="3"/>
        </w:numPr>
        <w:tabs>
          <w:tab w:val="left" w:pos="-450"/>
        </w:tabs>
        <w:spacing w:line="240" w:lineRule="auto"/>
        <w:rPr>
          <w:rFonts w:ascii="Times New Roman" w:hAnsi="Times New Roman"/>
          <w:sz w:val="22"/>
          <w:szCs w:val="22"/>
        </w:rPr>
      </w:pPr>
      <w:r>
        <w:rPr>
          <w:rFonts w:ascii="Times New Roman" w:hAnsi="Times New Roman"/>
          <w:sz w:val="22"/>
          <w:szCs w:val="22"/>
        </w:rPr>
        <w:t>The total Interconnection Ombudsman Fees collected; and</w:t>
      </w:r>
    </w:p>
    <w:p w14:paraId="17D0EBBC" w14:textId="77777777" w:rsidR="005F485D" w:rsidRPr="0051631E" w:rsidRDefault="005F485D" w:rsidP="005F485D">
      <w:pPr>
        <w:pStyle w:val="BodyTextIndent2"/>
        <w:numPr>
          <w:ilvl w:val="3"/>
          <w:numId w:val="3"/>
        </w:numPr>
        <w:tabs>
          <w:tab w:val="left" w:pos="-450"/>
        </w:tabs>
        <w:spacing w:line="240" w:lineRule="auto"/>
        <w:rPr>
          <w:rFonts w:ascii="Times New Roman" w:hAnsi="Times New Roman"/>
          <w:sz w:val="22"/>
          <w:szCs w:val="22"/>
        </w:rPr>
      </w:pPr>
      <w:r>
        <w:rPr>
          <w:rFonts w:ascii="Times New Roman" w:hAnsi="Times New Roman"/>
          <w:sz w:val="22"/>
          <w:szCs w:val="22"/>
        </w:rPr>
        <w:t>The amount remitted to the Commission.</w:t>
      </w:r>
    </w:p>
    <w:p w14:paraId="44F03D59" w14:textId="77777777" w:rsidR="005F485D" w:rsidRPr="00081718" w:rsidRDefault="005F485D" w:rsidP="005F485D">
      <w:pPr>
        <w:pStyle w:val="BodyTextIndent2"/>
        <w:tabs>
          <w:tab w:val="left" w:pos="-450"/>
        </w:tabs>
        <w:spacing w:line="240" w:lineRule="auto"/>
        <w:ind w:left="0" w:firstLine="0"/>
        <w:rPr>
          <w:rFonts w:ascii="Times New Roman" w:hAnsi="Times New Roman"/>
          <w:sz w:val="22"/>
          <w:szCs w:val="22"/>
        </w:rPr>
      </w:pPr>
    </w:p>
    <w:p w14:paraId="4F6E660F" w14:textId="77777777" w:rsidR="005F485D" w:rsidRDefault="005F485D" w:rsidP="005F485D">
      <w:pPr>
        <w:pStyle w:val="BodyTextIndent2"/>
        <w:tabs>
          <w:tab w:val="left" w:pos="-450"/>
        </w:tabs>
        <w:spacing w:line="240" w:lineRule="auto"/>
        <w:rPr>
          <w:rFonts w:ascii="Times New Roman" w:hAnsi="Times New Roman"/>
          <w:sz w:val="22"/>
          <w:szCs w:val="22"/>
        </w:rPr>
      </w:pPr>
    </w:p>
    <w:p w14:paraId="594E2869" w14:textId="77777777" w:rsidR="005F485D" w:rsidRPr="008D38A7" w:rsidRDefault="005F485D" w:rsidP="005F485D">
      <w:pPr>
        <w:ind w:left="1440"/>
        <w:rPr>
          <w:rFonts w:ascii="Times New Roman" w:hAnsi="Times New Roman"/>
          <w:sz w:val="22"/>
          <w:szCs w:val="22"/>
        </w:rPr>
      </w:pPr>
    </w:p>
    <w:p w14:paraId="2671319E" w14:textId="77777777" w:rsidR="005F485D" w:rsidRPr="008D38A7" w:rsidRDefault="005F485D" w:rsidP="005F485D">
      <w:pPr>
        <w:rPr>
          <w:rFonts w:ascii="Times New Roman" w:hAnsi="Times New Roman"/>
          <w:b/>
          <w:caps/>
          <w:sz w:val="22"/>
          <w:szCs w:val="22"/>
        </w:rPr>
      </w:pPr>
      <w:r w:rsidRPr="008D38A7">
        <w:rPr>
          <w:rFonts w:ascii="Times New Roman" w:hAnsi="Times New Roman"/>
          <w:b/>
          <w:sz w:val="22"/>
          <w:szCs w:val="22"/>
        </w:rPr>
        <w:t>3.</w:t>
      </w:r>
      <w:r w:rsidRPr="008D38A7">
        <w:rPr>
          <w:rFonts w:ascii="Times New Roman" w:hAnsi="Times New Roman"/>
          <w:b/>
          <w:sz w:val="22"/>
          <w:szCs w:val="22"/>
        </w:rPr>
        <w:tab/>
      </w:r>
      <w:r w:rsidRPr="008D38A7">
        <w:rPr>
          <w:rFonts w:ascii="Times New Roman" w:hAnsi="Times New Roman"/>
          <w:b/>
          <w:caps/>
          <w:sz w:val="22"/>
          <w:szCs w:val="22"/>
        </w:rPr>
        <w:t>Waiver</w:t>
      </w:r>
    </w:p>
    <w:p w14:paraId="5F893C55" w14:textId="77777777" w:rsidR="005F485D" w:rsidRPr="008D38A7" w:rsidRDefault="005F485D" w:rsidP="005F485D">
      <w:pPr>
        <w:ind w:left="720"/>
        <w:rPr>
          <w:rFonts w:ascii="Times New Roman" w:hAnsi="Times New Roman"/>
          <w:b/>
          <w:sz w:val="22"/>
          <w:szCs w:val="22"/>
        </w:rPr>
      </w:pPr>
    </w:p>
    <w:p w14:paraId="2EDC8317" w14:textId="77777777" w:rsidR="005F485D" w:rsidRPr="008D38A7" w:rsidRDefault="005F485D" w:rsidP="005F485D">
      <w:pPr>
        <w:pStyle w:val="BodyTextIndent2"/>
        <w:tabs>
          <w:tab w:val="left" w:pos="-360"/>
        </w:tabs>
        <w:spacing w:line="240" w:lineRule="auto"/>
        <w:ind w:left="720" w:firstLine="0"/>
        <w:rPr>
          <w:rFonts w:ascii="Times New Roman" w:hAnsi="Times New Roman"/>
          <w:sz w:val="22"/>
          <w:szCs w:val="22"/>
        </w:rPr>
      </w:pPr>
      <w:r w:rsidRPr="008D38A7">
        <w:rPr>
          <w:rFonts w:ascii="Times New Roman" w:hAnsi="Times New Roman"/>
          <w:sz w:val="22"/>
          <w:szCs w:val="22"/>
        </w:rPr>
        <w:t>Upon the request of any person subject to this Chapter or upon its own motion, the Commission may, for good cause, waive any requirement of this Chapter that is not required by statute.</w:t>
      </w:r>
      <w:r>
        <w:rPr>
          <w:rFonts w:ascii="Times New Roman" w:hAnsi="Times New Roman"/>
          <w:sz w:val="22"/>
          <w:szCs w:val="22"/>
        </w:rPr>
        <w:t xml:space="preserve"> </w:t>
      </w:r>
      <w:r w:rsidRPr="008D38A7">
        <w:rPr>
          <w:rFonts w:ascii="Times New Roman" w:hAnsi="Times New Roman"/>
          <w:sz w:val="22"/>
          <w:szCs w:val="22"/>
        </w:rPr>
        <w:t>The waiver may not be inconsistent with the purposes of this Chapter or Title 35-A.</w:t>
      </w:r>
      <w:r>
        <w:rPr>
          <w:rFonts w:ascii="Times New Roman" w:hAnsi="Times New Roman"/>
          <w:sz w:val="22"/>
          <w:szCs w:val="22"/>
        </w:rPr>
        <w:t xml:space="preserve"> </w:t>
      </w:r>
      <w:r w:rsidRPr="008D38A7">
        <w:rPr>
          <w:rFonts w:ascii="Times New Roman" w:hAnsi="Times New Roman"/>
          <w:sz w:val="22"/>
          <w:szCs w:val="22"/>
        </w:rPr>
        <w:t xml:space="preserve">The Commission, the Director of </w:t>
      </w:r>
      <w:r>
        <w:rPr>
          <w:rFonts w:ascii="Times New Roman" w:hAnsi="Times New Roman"/>
          <w:sz w:val="22"/>
          <w:szCs w:val="22"/>
        </w:rPr>
        <w:t>Electric and Gas Industries</w:t>
      </w:r>
      <w:r w:rsidRPr="008D38A7">
        <w:rPr>
          <w:rFonts w:ascii="Times New Roman" w:hAnsi="Times New Roman"/>
          <w:sz w:val="22"/>
          <w:szCs w:val="22"/>
        </w:rPr>
        <w:t>, or the Presiding Officer assigned to a proceeding related to this Chapter may grant the waiver.</w:t>
      </w:r>
    </w:p>
    <w:p w14:paraId="5C9DC6A5" w14:textId="77777777" w:rsidR="005F485D" w:rsidRPr="008D38A7" w:rsidRDefault="005F485D" w:rsidP="005F485D">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Style w:val="InitialStyle"/>
          <w:sz w:val="22"/>
          <w:szCs w:val="22"/>
        </w:rPr>
      </w:pPr>
    </w:p>
    <w:p w14:paraId="2BDA981C" w14:textId="77777777" w:rsidR="005F485D" w:rsidRDefault="005F485D" w:rsidP="005F485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Style w:val="InitialStyle"/>
          <w:b/>
          <w:bCs/>
          <w:sz w:val="22"/>
          <w:szCs w:val="22"/>
        </w:rPr>
      </w:pPr>
    </w:p>
    <w:p w14:paraId="7C0A40C9" w14:textId="23519D3C" w:rsidR="005F485D" w:rsidRDefault="005F485D" w:rsidP="005F485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5F485D">
        <w:rPr>
          <w:rStyle w:val="InitialStyle"/>
          <w:rFonts w:ascii="Times New Roman" w:hAnsi="Times New Roman"/>
          <w:b/>
          <w:bCs/>
          <w:sz w:val="22"/>
          <w:szCs w:val="22"/>
        </w:rPr>
        <w:t>BASIS STATEMENT:</w:t>
      </w:r>
      <w:r w:rsidRPr="005F485D">
        <w:rPr>
          <w:rStyle w:val="InitialStyle"/>
          <w:rFonts w:ascii="Times New Roman" w:hAnsi="Times New Roman"/>
          <w:sz w:val="22"/>
          <w:szCs w:val="22"/>
        </w:rPr>
        <w:t xml:space="preserve"> </w:t>
      </w:r>
      <w:r w:rsidRPr="005F485D">
        <w:rPr>
          <w:sz w:val="22"/>
          <w:szCs w:val="22"/>
        </w:rPr>
        <w:t>The factual and policy basis for this Rule is set forth in the Commission’s Order Adopting Rule and Statement of Factual and Policy Basis, Docket No. 2024-00</w:t>
      </w:r>
      <w:r w:rsidR="00067597">
        <w:rPr>
          <w:sz w:val="22"/>
          <w:szCs w:val="22"/>
        </w:rPr>
        <w:t>218</w:t>
      </w:r>
      <w:r w:rsidRPr="005F485D">
        <w:rPr>
          <w:sz w:val="22"/>
          <w:szCs w:val="22"/>
        </w:rPr>
        <w:t xml:space="preserve">, issued on </w:t>
      </w:r>
      <w:r w:rsidR="00067597">
        <w:rPr>
          <w:sz w:val="22"/>
          <w:szCs w:val="22"/>
        </w:rPr>
        <w:t>November 19</w:t>
      </w:r>
      <w:r w:rsidRPr="005F485D">
        <w:rPr>
          <w:sz w:val="22"/>
          <w:szCs w:val="22"/>
        </w:rPr>
        <w:t xml:space="preserve">, 2024. Copies of this Statement and Order have been filed with this rule at the Office of the Secretary of State. Copies may also be obtained from the Administrative Director, Public Utilities Commission, 18 State House Station, Augusta, Maine, 04333-0018. </w:t>
      </w:r>
    </w:p>
    <w:p w14:paraId="3FD2AC9B" w14:textId="77777777" w:rsidR="00067597" w:rsidRPr="005F485D" w:rsidRDefault="00067597" w:rsidP="005F485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Style w:val="InitialStyle"/>
          <w:rFonts w:ascii="Times New Roman" w:hAnsi="Times New Roman"/>
          <w:sz w:val="22"/>
          <w:szCs w:val="22"/>
        </w:rPr>
      </w:pPr>
    </w:p>
    <w:p w14:paraId="30645E53" w14:textId="77777777" w:rsidR="005F485D" w:rsidRPr="005F485D" w:rsidRDefault="005F485D" w:rsidP="005F485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Style w:val="InitialStyle"/>
          <w:rFonts w:ascii="Times New Roman" w:hAnsi="Times New Roman"/>
          <w:sz w:val="22"/>
          <w:szCs w:val="22"/>
        </w:rPr>
      </w:pPr>
    </w:p>
    <w:p w14:paraId="4B984E14" w14:textId="4F533D46" w:rsidR="006323BC" w:rsidRDefault="005F485D" w:rsidP="00067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Style w:val="InitialStyle"/>
          <w:rFonts w:ascii="Times New Roman" w:hAnsi="Times New Roman"/>
          <w:sz w:val="22"/>
          <w:szCs w:val="22"/>
        </w:rPr>
      </w:pPr>
      <w:r w:rsidRPr="005F485D">
        <w:rPr>
          <w:rStyle w:val="InitialStyle"/>
          <w:rFonts w:ascii="Times New Roman" w:hAnsi="Times New Roman"/>
          <w:b/>
          <w:sz w:val="22"/>
          <w:szCs w:val="22"/>
        </w:rPr>
        <w:lastRenderedPageBreak/>
        <w:t xml:space="preserve">STATUTORY AUTHORITY: </w:t>
      </w:r>
      <w:r w:rsidRPr="005F485D">
        <w:rPr>
          <w:rStyle w:val="InitialStyle"/>
          <w:rFonts w:ascii="Times New Roman" w:hAnsi="Times New Roman"/>
          <w:sz w:val="22"/>
          <w:szCs w:val="22"/>
        </w:rPr>
        <w:t xml:space="preserve">35-A M.R.S.A. §§ 104, 111, and P.L. 2023, c. </w:t>
      </w:r>
      <w:r w:rsidRPr="005F485D">
        <w:rPr>
          <w:sz w:val="22"/>
          <w:szCs w:val="22"/>
        </w:rPr>
        <w:t>307, as amended by P.L. 2024, c. 643, Sec. WWW-1, codified at 35-A M.R.S. § 3474</w:t>
      </w:r>
      <w:r w:rsidRPr="005F485D">
        <w:rPr>
          <w:rStyle w:val="InitialStyle"/>
          <w:rFonts w:ascii="Times New Roman" w:hAnsi="Times New Roman"/>
          <w:sz w:val="22"/>
          <w:szCs w:val="22"/>
        </w:rPr>
        <w:t>.</w:t>
      </w:r>
    </w:p>
    <w:p w14:paraId="4D344056" w14:textId="77777777" w:rsidR="00067597" w:rsidRDefault="00067597" w:rsidP="00067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sz w:val="22"/>
          <w:szCs w:val="22"/>
        </w:rPr>
      </w:pPr>
    </w:p>
    <w:p w14:paraId="7DF9CA54" w14:textId="7DC42344" w:rsidR="00067597" w:rsidRPr="00E83849" w:rsidRDefault="00067597" w:rsidP="00067597">
      <w:pPr>
        <w:tabs>
          <w:tab w:val="left" w:pos="720"/>
          <w:tab w:val="left" w:pos="1440"/>
          <w:tab w:val="left" w:pos="2160"/>
          <w:tab w:val="left" w:pos="2880"/>
          <w:tab w:val="left" w:pos="3600"/>
        </w:tabs>
        <w:ind w:right="180"/>
        <w:rPr>
          <w:rFonts w:ascii="Times New Roman" w:hAnsi="Times New Roman"/>
          <w:sz w:val="22"/>
          <w:szCs w:val="22"/>
        </w:rPr>
      </w:pPr>
      <w:r w:rsidRPr="00E83849">
        <w:rPr>
          <w:rFonts w:ascii="Times New Roman" w:hAnsi="Times New Roman"/>
          <w:b/>
          <w:sz w:val="22"/>
          <w:szCs w:val="22"/>
        </w:rPr>
        <w:t>EFFECTIVE DATE:</w:t>
      </w:r>
      <w:r w:rsidRPr="00E83849">
        <w:rPr>
          <w:rFonts w:ascii="Times New Roman" w:hAnsi="Times New Roman"/>
          <w:sz w:val="22"/>
          <w:szCs w:val="22"/>
        </w:rPr>
        <w:t xml:space="preserve"> This rule was approved as to form and legality by the Attorney General on </w:t>
      </w:r>
      <w:r w:rsidR="00B37714">
        <w:rPr>
          <w:rFonts w:ascii="Times New Roman" w:hAnsi="Times New Roman"/>
          <w:sz w:val="22"/>
          <w:szCs w:val="22"/>
        </w:rPr>
        <w:t xml:space="preserve">December 4, </w:t>
      </w:r>
      <w:r w:rsidR="00E95D15">
        <w:rPr>
          <w:rFonts w:ascii="Times New Roman" w:hAnsi="Times New Roman"/>
          <w:sz w:val="22"/>
          <w:szCs w:val="22"/>
        </w:rPr>
        <w:t>2024</w:t>
      </w:r>
      <w:r w:rsidR="00E95D15" w:rsidRPr="00E83849">
        <w:rPr>
          <w:rFonts w:ascii="Times New Roman" w:hAnsi="Times New Roman"/>
          <w:sz w:val="22"/>
          <w:szCs w:val="22"/>
        </w:rPr>
        <w:t xml:space="preserve">. </w:t>
      </w:r>
      <w:r w:rsidRPr="00E83849">
        <w:rPr>
          <w:rFonts w:ascii="Times New Roman" w:hAnsi="Times New Roman"/>
          <w:sz w:val="22"/>
          <w:szCs w:val="22"/>
        </w:rPr>
        <w:t xml:space="preserve">It was filed with the Secretary of State on </w:t>
      </w:r>
      <w:r w:rsidR="00B37714">
        <w:rPr>
          <w:rFonts w:ascii="Times New Roman" w:hAnsi="Times New Roman"/>
          <w:sz w:val="22"/>
          <w:szCs w:val="22"/>
        </w:rPr>
        <w:t xml:space="preserve">December 6, </w:t>
      </w:r>
      <w:r w:rsidR="00E95D15">
        <w:rPr>
          <w:rFonts w:ascii="Times New Roman" w:hAnsi="Times New Roman"/>
          <w:sz w:val="22"/>
          <w:szCs w:val="22"/>
        </w:rPr>
        <w:t>2024</w:t>
      </w:r>
      <w:r w:rsidR="00E95D15" w:rsidRPr="00E83849">
        <w:rPr>
          <w:rFonts w:ascii="Times New Roman" w:hAnsi="Times New Roman"/>
          <w:sz w:val="22"/>
          <w:szCs w:val="22"/>
        </w:rPr>
        <w:t xml:space="preserve"> </w:t>
      </w:r>
      <w:r w:rsidRPr="00E83849">
        <w:rPr>
          <w:rFonts w:ascii="Times New Roman" w:hAnsi="Times New Roman"/>
          <w:sz w:val="22"/>
          <w:szCs w:val="22"/>
        </w:rPr>
        <w:t xml:space="preserve">and became effective on </w:t>
      </w:r>
      <w:r w:rsidR="00B37714">
        <w:rPr>
          <w:rFonts w:ascii="Times New Roman" w:hAnsi="Times New Roman"/>
          <w:sz w:val="22"/>
          <w:szCs w:val="22"/>
        </w:rPr>
        <w:t>December 11, 2024</w:t>
      </w:r>
      <w:r w:rsidR="00E95D15" w:rsidRPr="00E83849">
        <w:rPr>
          <w:rFonts w:ascii="Times New Roman" w:hAnsi="Times New Roman"/>
          <w:sz w:val="22"/>
          <w:szCs w:val="22"/>
        </w:rPr>
        <w:t xml:space="preserve"> </w:t>
      </w:r>
      <w:r w:rsidRPr="00E83849">
        <w:rPr>
          <w:rFonts w:ascii="Times New Roman" w:hAnsi="Times New Roman"/>
          <w:sz w:val="22"/>
          <w:szCs w:val="22"/>
        </w:rPr>
        <w:t xml:space="preserve">(filing </w:t>
      </w:r>
      <w:r w:rsidR="00E95D15">
        <w:rPr>
          <w:rFonts w:ascii="Times New Roman" w:hAnsi="Times New Roman"/>
          <w:sz w:val="22"/>
          <w:szCs w:val="22"/>
        </w:rPr>
        <w:t>2024-264</w:t>
      </w:r>
      <w:r w:rsidR="00E95D15" w:rsidRPr="00E83849">
        <w:rPr>
          <w:rFonts w:ascii="Times New Roman" w:hAnsi="Times New Roman"/>
          <w:sz w:val="22"/>
          <w:szCs w:val="22"/>
        </w:rPr>
        <w:t>).</w:t>
      </w:r>
    </w:p>
    <w:p w14:paraId="37421A5A" w14:textId="77777777" w:rsidR="00067597" w:rsidRPr="00067597" w:rsidRDefault="00067597" w:rsidP="00067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sz w:val="22"/>
          <w:szCs w:val="22"/>
        </w:rPr>
      </w:pPr>
    </w:p>
    <w:sectPr w:rsidR="00067597" w:rsidRPr="00067597" w:rsidSect="00C5441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D2B4" w14:textId="77777777" w:rsidR="0004778B" w:rsidRDefault="0004778B" w:rsidP="00C54411">
      <w:r>
        <w:separator/>
      </w:r>
    </w:p>
  </w:endnote>
  <w:endnote w:type="continuationSeparator" w:id="0">
    <w:p w14:paraId="651C28CB" w14:textId="77777777" w:rsidR="0004778B" w:rsidRDefault="0004778B" w:rsidP="00C5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BF71" w14:textId="77777777" w:rsidR="0004778B" w:rsidRDefault="0004778B" w:rsidP="00C54411">
      <w:r>
        <w:separator/>
      </w:r>
    </w:p>
  </w:footnote>
  <w:footnote w:type="continuationSeparator" w:id="0">
    <w:p w14:paraId="0EA9E10C" w14:textId="77777777" w:rsidR="0004778B" w:rsidRDefault="0004778B" w:rsidP="00C5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838E" w14:textId="6BDEBB8D" w:rsidR="00C54411" w:rsidRPr="00C54411" w:rsidRDefault="00C54411" w:rsidP="00C54411">
    <w:pPr>
      <w:pBdr>
        <w:bottom w:val="single" w:sz="4" w:space="1" w:color="auto"/>
      </w:pBdr>
      <w:tabs>
        <w:tab w:val="center" w:pos="4680"/>
        <w:tab w:val="right" w:pos="9360"/>
      </w:tabs>
      <w:jc w:val="right"/>
      <w:rPr>
        <w:rFonts w:ascii="Times New Roman" w:eastAsia="Aptos" w:hAnsi="Times New Roman"/>
        <w:sz w:val="18"/>
        <w:szCs w:val="18"/>
      </w:rPr>
    </w:pPr>
    <w:r w:rsidRPr="00C54411">
      <w:rPr>
        <w:rFonts w:ascii="Times New Roman" w:eastAsia="Aptos" w:hAnsi="Times New Roman"/>
        <w:sz w:val="18"/>
        <w:szCs w:val="18"/>
      </w:rPr>
      <w:t>65-407 Chapter 3</w:t>
    </w:r>
    <w:r>
      <w:rPr>
        <w:rFonts w:ascii="Times New Roman" w:eastAsia="Aptos" w:hAnsi="Times New Roman"/>
        <w:sz w:val="18"/>
        <w:szCs w:val="18"/>
      </w:rPr>
      <w:t>28</w:t>
    </w:r>
    <w:r w:rsidRPr="00C54411">
      <w:rPr>
        <w:rFonts w:ascii="Times New Roman" w:eastAsia="Aptos" w:hAnsi="Times New Roman"/>
        <w:sz w:val="18"/>
        <w:szCs w:val="18"/>
      </w:rPr>
      <w:t xml:space="preserve">     page </w:t>
    </w:r>
    <w:r w:rsidRPr="00C54411">
      <w:rPr>
        <w:rFonts w:ascii="Times New Roman" w:eastAsia="Aptos" w:hAnsi="Times New Roman"/>
        <w:sz w:val="18"/>
        <w:szCs w:val="18"/>
      </w:rPr>
      <w:fldChar w:fldCharType="begin"/>
    </w:r>
    <w:r w:rsidRPr="00C54411">
      <w:rPr>
        <w:rFonts w:ascii="Times New Roman" w:eastAsia="Aptos" w:hAnsi="Times New Roman"/>
        <w:sz w:val="18"/>
        <w:szCs w:val="18"/>
      </w:rPr>
      <w:instrText xml:space="preserve"> PAGE   \* MERGEFORMAT </w:instrText>
    </w:r>
    <w:r w:rsidRPr="00C54411">
      <w:rPr>
        <w:rFonts w:ascii="Times New Roman" w:eastAsia="Aptos" w:hAnsi="Times New Roman"/>
        <w:sz w:val="18"/>
        <w:szCs w:val="18"/>
      </w:rPr>
      <w:fldChar w:fldCharType="separate"/>
    </w:r>
    <w:r w:rsidRPr="00C54411">
      <w:rPr>
        <w:rFonts w:ascii="Times New Roman" w:eastAsia="Aptos" w:hAnsi="Times New Roman"/>
        <w:sz w:val="18"/>
        <w:szCs w:val="18"/>
      </w:rPr>
      <w:t>2</w:t>
    </w:r>
    <w:r w:rsidRPr="00C54411">
      <w:rPr>
        <w:rFonts w:ascii="Times New Roman" w:eastAsia="Aptos" w:hAnsi="Times New Roman"/>
        <w:noProof/>
        <w:sz w:val="18"/>
        <w:szCs w:val="18"/>
      </w:rPr>
      <w:fldChar w:fldCharType="end"/>
    </w:r>
  </w:p>
  <w:p w14:paraId="022521E7" w14:textId="62DFFA93" w:rsidR="00C54411" w:rsidRDefault="00C54411">
    <w:pPr>
      <w:pStyle w:val="Header"/>
      <w:tabs>
        <w:tab w:val="clear" w:pos="4680"/>
        <w:tab w:val="clear" w:pos="9360"/>
      </w:tabs>
      <w:jc w:val="right"/>
      <w:rPr>
        <w:color w:val="2C7FCE" w:themeColor="text2" w:themeTint="99"/>
        <w:szCs w:val="24"/>
      </w:rPr>
    </w:pPr>
  </w:p>
  <w:p w14:paraId="19C13C71" w14:textId="77777777" w:rsidR="00C54411" w:rsidRDefault="00C54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B1680"/>
    <w:multiLevelType w:val="hybridMultilevel"/>
    <w:tmpl w:val="F962A7A8"/>
    <w:lvl w:ilvl="0" w:tplc="180E2478">
      <w:start w:val="1"/>
      <w:numFmt w:val="decimal"/>
      <w:lvlText w:val="%1."/>
      <w:lvlJc w:val="left"/>
      <w:pPr>
        <w:ind w:left="216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C6215A0">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737D5"/>
    <w:multiLevelType w:val="hybridMultilevel"/>
    <w:tmpl w:val="533233C4"/>
    <w:lvl w:ilvl="0" w:tplc="180E24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9FE46F9"/>
    <w:multiLevelType w:val="hybridMultilevel"/>
    <w:tmpl w:val="DDB62894"/>
    <w:lvl w:ilvl="0" w:tplc="EA08D0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6001376">
    <w:abstractNumId w:val="2"/>
  </w:num>
  <w:num w:numId="2" w16cid:durableId="688678527">
    <w:abstractNumId w:val="1"/>
  </w:num>
  <w:num w:numId="3" w16cid:durableId="167071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5D"/>
    <w:rsid w:val="00024B89"/>
    <w:rsid w:val="0004778B"/>
    <w:rsid w:val="00067597"/>
    <w:rsid w:val="000E3AC1"/>
    <w:rsid w:val="000E44AD"/>
    <w:rsid w:val="00102098"/>
    <w:rsid w:val="002A720C"/>
    <w:rsid w:val="003F5B41"/>
    <w:rsid w:val="00501ED1"/>
    <w:rsid w:val="005033C9"/>
    <w:rsid w:val="00564171"/>
    <w:rsid w:val="005F485D"/>
    <w:rsid w:val="006323BC"/>
    <w:rsid w:val="00660B14"/>
    <w:rsid w:val="006D29A8"/>
    <w:rsid w:val="00734D7D"/>
    <w:rsid w:val="007A7463"/>
    <w:rsid w:val="007E7260"/>
    <w:rsid w:val="00815E49"/>
    <w:rsid w:val="00860C4E"/>
    <w:rsid w:val="00921D3A"/>
    <w:rsid w:val="00990E6E"/>
    <w:rsid w:val="00991A35"/>
    <w:rsid w:val="009B4D51"/>
    <w:rsid w:val="00A72DAF"/>
    <w:rsid w:val="00A80FE4"/>
    <w:rsid w:val="00AB2B09"/>
    <w:rsid w:val="00AE0654"/>
    <w:rsid w:val="00AF513B"/>
    <w:rsid w:val="00B37714"/>
    <w:rsid w:val="00B40AD8"/>
    <w:rsid w:val="00B90755"/>
    <w:rsid w:val="00BE2DD3"/>
    <w:rsid w:val="00BE7EAF"/>
    <w:rsid w:val="00C54411"/>
    <w:rsid w:val="00CA0E14"/>
    <w:rsid w:val="00CE0758"/>
    <w:rsid w:val="00D228C3"/>
    <w:rsid w:val="00DC7F6D"/>
    <w:rsid w:val="00E11D44"/>
    <w:rsid w:val="00E939FD"/>
    <w:rsid w:val="00E95D15"/>
    <w:rsid w:val="00EC6B4F"/>
    <w:rsid w:val="00F4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0F5B"/>
  <w15:chartTrackingRefBased/>
  <w15:docId w15:val="{F6D0C0CC-F8A8-44B6-BFBC-691A5D08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5D"/>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5F4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8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8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8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8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85D"/>
    <w:rPr>
      <w:rFonts w:eastAsiaTheme="majorEastAsia" w:cstheme="majorBidi"/>
      <w:color w:val="272727" w:themeColor="text1" w:themeTint="D8"/>
    </w:rPr>
  </w:style>
  <w:style w:type="paragraph" w:styleId="Title">
    <w:name w:val="Title"/>
    <w:basedOn w:val="Normal"/>
    <w:next w:val="Normal"/>
    <w:link w:val="TitleChar"/>
    <w:uiPriority w:val="10"/>
    <w:qFormat/>
    <w:rsid w:val="005F48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85D"/>
    <w:pPr>
      <w:spacing w:before="160"/>
      <w:jc w:val="center"/>
    </w:pPr>
    <w:rPr>
      <w:i/>
      <w:iCs/>
      <w:color w:val="404040" w:themeColor="text1" w:themeTint="BF"/>
    </w:rPr>
  </w:style>
  <w:style w:type="character" w:customStyle="1" w:styleId="QuoteChar">
    <w:name w:val="Quote Char"/>
    <w:basedOn w:val="DefaultParagraphFont"/>
    <w:link w:val="Quote"/>
    <w:uiPriority w:val="29"/>
    <w:rsid w:val="005F485D"/>
    <w:rPr>
      <w:i/>
      <w:iCs/>
      <w:color w:val="404040" w:themeColor="text1" w:themeTint="BF"/>
    </w:rPr>
  </w:style>
  <w:style w:type="paragraph" w:styleId="ListParagraph">
    <w:name w:val="List Paragraph"/>
    <w:basedOn w:val="Normal"/>
    <w:uiPriority w:val="34"/>
    <w:qFormat/>
    <w:rsid w:val="005F485D"/>
    <w:pPr>
      <w:ind w:left="720"/>
      <w:contextualSpacing/>
    </w:pPr>
  </w:style>
  <w:style w:type="character" w:styleId="IntenseEmphasis">
    <w:name w:val="Intense Emphasis"/>
    <w:basedOn w:val="DefaultParagraphFont"/>
    <w:uiPriority w:val="21"/>
    <w:qFormat/>
    <w:rsid w:val="005F485D"/>
    <w:rPr>
      <w:i/>
      <w:iCs/>
      <w:color w:val="0F4761" w:themeColor="accent1" w:themeShade="BF"/>
    </w:rPr>
  </w:style>
  <w:style w:type="paragraph" w:styleId="IntenseQuote">
    <w:name w:val="Intense Quote"/>
    <w:basedOn w:val="Normal"/>
    <w:next w:val="Normal"/>
    <w:link w:val="IntenseQuoteChar"/>
    <w:uiPriority w:val="30"/>
    <w:qFormat/>
    <w:rsid w:val="005F4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85D"/>
    <w:rPr>
      <w:i/>
      <w:iCs/>
      <w:color w:val="0F4761" w:themeColor="accent1" w:themeShade="BF"/>
    </w:rPr>
  </w:style>
  <w:style w:type="character" w:styleId="IntenseReference">
    <w:name w:val="Intense Reference"/>
    <w:basedOn w:val="DefaultParagraphFont"/>
    <w:uiPriority w:val="32"/>
    <w:qFormat/>
    <w:rsid w:val="005F485D"/>
    <w:rPr>
      <w:b/>
      <w:bCs/>
      <w:smallCaps/>
      <w:color w:val="0F4761" w:themeColor="accent1" w:themeShade="BF"/>
      <w:spacing w:val="5"/>
    </w:rPr>
  </w:style>
  <w:style w:type="paragraph" w:styleId="BodyTextIndent">
    <w:name w:val="Body Text Indent"/>
    <w:basedOn w:val="Normal"/>
    <w:link w:val="BodyTextIndentChar"/>
    <w:rsid w:val="005F485D"/>
    <w:pPr>
      <w:spacing w:after="120"/>
      <w:ind w:left="720"/>
    </w:pPr>
  </w:style>
  <w:style w:type="character" w:customStyle="1" w:styleId="BodyTextIndentChar">
    <w:name w:val="Body Text Indent Char"/>
    <w:basedOn w:val="DefaultParagraphFont"/>
    <w:link w:val="BodyTextIndent"/>
    <w:rsid w:val="005F485D"/>
    <w:rPr>
      <w:rFonts w:ascii="Arial" w:eastAsia="Times New Roman" w:hAnsi="Arial" w:cs="Times New Roman"/>
      <w:kern w:val="0"/>
      <w:sz w:val="24"/>
      <w:szCs w:val="20"/>
      <w14:ligatures w14:val="none"/>
    </w:rPr>
  </w:style>
  <w:style w:type="paragraph" w:styleId="BodyTextIndent2">
    <w:name w:val="Body Text Indent 2"/>
    <w:basedOn w:val="Normal"/>
    <w:link w:val="BodyTextIndent2Char"/>
    <w:rsid w:val="005F485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480" w:lineRule="auto"/>
      <w:ind w:left="1440" w:hanging="1440"/>
      <w:textAlignment w:val="baseline"/>
    </w:pPr>
  </w:style>
  <w:style w:type="character" w:customStyle="1" w:styleId="BodyTextIndent2Char">
    <w:name w:val="Body Text Indent 2 Char"/>
    <w:basedOn w:val="DefaultParagraphFont"/>
    <w:link w:val="BodyTextIndent2"/>
    <w:rsid w:val="005F485D"/>
    <w:rPr>
      <w:rFonts w:ascii="Arial" w:eastAsia="Times New Roman" w:hAnsi="Arial" w:cs="Times New Roman"/>
      <w:kern w:val="0"/>
      <w:sz w:val="24"/>
      <w:szCs w:val="20"/>
      <w14:ligatures w14:val="none"/>
    </w:rPr>
  </w:style>
  <w:style w:type="paragraph" w:customStyle="1" w:styleId="DefaultText">
    <w:name w:val="Default Text"/>
    <w:basedOn w:val="Normal"/>
    <w:rsid w:val="005F485D"/>
    <w:rPr>
      <w:rFonts w:ascii="Times New Roman" w:hAnsi="Times New Roman"/>
    </w:rPr>
  </w:style>
  <w:style w:type="character" w:customStyle="1" w:styleId="InitialStyle">
    <w:name w:val="InitialStyle"/>
    <w:rsid w:val="005F485D"/>
    <w:rPr>
      <w:rFonts w:ascii="Arial" w:hAnsi="Arial"/>
    </w:rPr>
  </w:style>
  <w:style w:type="paragraph" w:styleId="Header">
    <w:name w:val="header"/>
    <w:basedOn w:val="Normal"/>
    <w:link w:val="HeaderChar"/>
    <w:uiPriority w:val="99"/>
    <w:unhideWhenUsed/>
    <w:rsid w:val="00C54411"/>
    <w:pPr>
      <w:tabs>
        <w:tab w:val="center" w:pos="4680"/>
        <w:tab w:val="right" w:pos="9360"/>
      </w:tabs>
    </w:pPr>
  </w:style>
  <w:style w:type="character" w:customStyle="1" w:styleId="HeaderChar">
    <w:name w:val="Header Char"/>
    <w:basedOn w:val="DefaultParagraphFont"/>
    <w:link w:val="Header"/>
    <w:uiPriority w:val="99"/>
    <w:rsid w:val="00C54411"/>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C54411"/>
    <w:pPr>
      <w:tabs>
        <w:tab w:val="center" w:pos="4680"/>
        <w:tab w:val="right" w:pos="9360"/>
      </w:tabs>
    </w:pPr>
  </w:style>
  <w:style w:type="character" w:customStyle="1" w:styleId="FooterChar">
    <w:name w:val="Footer Char"/>
    <w:basedOn w:val="DefaultParagraphFont"/>
    <w:link w:val="Footer"/>
    <w:uiPriority w:val="99"/>
    <w:rsid w:val="00C54411"/>
    <w:rPr>
      <w:rFonts w:ascii="Arial" w:eastAsia="Times New Roman" w:hAnsi="Arial" w:cs="Times New Roman"/>
      <w:kern w:val="0"/>
      <w:sz w:val="24"/>
      <w:szCs w:val="20"/>
      <w14:ligatures w14:val="none"/>
    </w:rPr>
  </w:style>
  <w:style w:type="paragraph" w:styleId="Revision">
    <w:name w:val="Revision"/>
    <w:hidden/>
    <w:uiPriority w:val="99"/>
    <w:semiHidden/>
    <w:rsid w:val="00E95D15"/>
    <w:pPr>
      <w:spacing w:after="0" w:line="240" w:lineRule="auto"/>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4300</Characters>
  <Application>Microsoft Office Word</Application>
  <DocSecurity>0</DocSecurity>
  <Lines>35</Lines>
  <Paragraphs>10</Paragraphs>
  <ScaleCrop>false</ScaleCrop>
  <Company>State of Maine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Wyman, Liz</dc:creator>
  <cp:keywords/>
  <dc:description/>
  <cp:lastModifiedBy>Parr, J.Chris</cp:lastModifiedBy>
  <cp:revision>6</cp:revision>
  <cp:lastPrinted>2024-12-06T13:47:00Z</cp:lastPrinted>
  <dcterms:created xsi:type="dcterms:W3CDTF">2024-11-05T22:18:00Z</dcterms:created>
  <dcterms:modified xsi:type="dcterms:W3CDTF">2024-12-06T14:03:00Z</dcterms:modified>
</cp:coreProperties>
</file>