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980B" w14:textId="77777777" w:rsidR="00C6005A" w:rsidRDefault="00C600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041A" w14:paraId="796FACDE" w14:textId="77777777" w:rsidTr="002E32AC">
        <w:tc>
          <w:tcPr>
            <w:tcW w:w="9350" w:type="dxa"/>
          </w:tcPr>
          <w:p w14:paraId="4D99BBC1" w14:textId="77777777" w:rsidR="00E5041A" w:rsidRDefault="00E5041A" w:rsidP="00E504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hd w:val="clear" w:color="auto" w:fill="DBF0C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DF74AF8" w14:textId="77777777" w:rsidR="00E5041A" w:rsidRDefault="00E5041A" w:rsidP="00E504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hd w:val="clear" w:color="auto" w:fill="DBF0C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9FE01BC" w14:textId="1DC4B242" w:rsidR="00E5041A" w:rsidRDefault="00E5041A" w:rsidP="00E504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hd w:val="clear" w:color="auto" w:fill="DBF0C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DE2">
              <w:rPr>
                <w:rFonts w:ascii="Times New Roman" w:hAnsi="Times New Roman"/>
                <w:b/>
                <w:bCs/>
                <w:sz w:val="28"/>
                <w:szCs w:val="28"/>
              </w:rPr>
              <w:t>MAINE SUPERVISED LENDER ANNUAL REPORT FORM</w:t>
            </w:r>
          </w:p>
          <w:p w14:paraId="0E93012F" w14:textId="6B133B1E" w:rsidR="00E5041A" w:rsidRDefault="00E5041A" w:rsidP="00E504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hd w:val="clear" w:color="auto" w:fill="DBF0C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6D32">
              <w:rPr>
                <w:rFonts w:ascii="Times New Roman" w:hAnsi="Times New Roman"/>
                <w:b/>
                <w:bCs/>
                <w:sz w:val="28"/>
                <w:szCs w:val="28"/>
              </w:rPr>
              <w:t>(Maine Consumer Credit Code Annual Notification</w:t>
            </w:r>
            <w:r w:rsidR="00F864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MCCC-1</w:t>
            </w:r>
            <w:r w:rsidRPr="00636D3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36C41D11" w14:textId="77777777" w:rsidR="00E5041A" w:rsidRDefault="00E5041A" w:rsidP="00E504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hd w:val="clear" w:color="auto" w:fill="DBF0C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E78C021" w14:textId="6E788C63" w:rsidR="00E5041A" w:rsidRDefault="00E5041A" w:rsidP="00E504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hd w:val="clear" w:color="auto" w:fill="DBF0CC"/>
              <w:jc w:val="center"/>
              <w:rPr>
                <w:rFonts w:ascii="Times New Roman" w:hAnsi="Times New Roman"/>
              </w:rPr>
            </w:pPr>
          </w:p>
        </w:tc>
      </w:tr>
      <w:tr w:rsidR="002E32AC" w14:paraId="5D244692" w14:textId="77777777" w:rsidTr="002E32AC">
        <w:tc>
          <w:tcPr>
            <w:tcW w:w="9350" w:type="dxa"/>
          </w:tcPr>
          <w:p w14:paraId="6570D310" w14:textId="77777777" w:rsidR="004C28BA" w:rsidRDefault="004C28BA" w:rsidP="002E32AC">
            <w:pPr>
              <w:rPr>
                <w:rFonts w:ascii="Times New Roman" w:hAnsi="Times New Roman"/>
                <w:szCs w:val="24"/>
              </w:rPr>
            </w:pPr>
          </w:p>
          <w:p w14:paraId="5998BF56" w14:textId="3A997BFE" w:rsidR="002E32AC" w:rsidRPr="008D44BD" w:rsidRDefault="002E32AC" w:rsidP="002E32AC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Maine Consumer Credit Code requires </w:t>
            </w:r>
            <w:r w:rsidR="000633BE">
              <w:rPr>
                <w:rFonts w:ascii="Times New Roman" w:hAnsi="Times New Roman"/>
                <w:szCs w:val="24"/>
              </w:rPr>
              <w:t xml:space="preserve">supervised lenders to report data for the previous calendar year.  </w:t>
            </w:r>
            <w:r w:rsidR="00354D6C">
              <w:rPr>
                <w:rFonts w:ascii="Times New Roman" w:hAnsi="Times New Roman"/>
                <w:szCs w:val="24"/>
              </w:rPr>
              <w:t xml:space="preserve">Please use this </w:t>
            </w:r>
            <w:r w:rsidRPr="00166AE2">
              <w:rPr>
                <w:rFonts w:ascii="Times New Roman" w:hAnsi="Times New Roman"/>
                <w:szCs w:val="24"/>
              </w:rPr>
              <w:t xml:space="preserve">annual creditor notification form </w:t>
            </w:r>
            <w:r>
              <w:rPr>
                <w:rFonts w:ascii="Times New Roman" w:hAnsi="Times New Roman"/>
                <w:szCs w:val="24"/>
              </w:rPr>
              <w:t>(for reporting calendar year 2024</w:t>
            </w:r>
            <w:r w:rsidRPr="00166AE2">
              <w:rPr>
                <w:rFonts w:ascii="Times New Roman" w:hAnsi="Times New Roman"/>
                <w:szCs w:val="24"/>
              </w:rPr>
              <w:t xml:space="preserve"> loan and credit volume), required by 9-A Maine Revised Statutes, section 6-202 (Maine Consumer Credit Code).  </w:t>
            </w:r>
            <w:r w:rsidRPr="008D44BD">
              <w:rPr>
                <w:rFonts w:ascii="Times New Roman" w:hAnsi="Times New Roman"/>
                <w:b/>
                <w:bCs/>
                <w:szCs w:val="24"/>
              </w:rPr>
              <w:t xml:space="preserve">To avoid late fees, please ensure </w:t>
            </w:r>
            <w:r w:rsidR="00592C07" w:rsidRPr="008D44BD">
              <w:rPr>
                <w:rFonts w:ascii="Times New Roman" w:hAnsi="Times New Roman"/>
                <w:b/>
                <w:bCs/>
                <w:szCs w:val="24"/>
              </w:rPr>
              <w:t>your company submits the data required</w:t>
            </w:r>
            <w:r w:rsidR="00562825" w:rsidRPr="008D44BD">
              <w:rPr>
                <w:rFonts w:ascii="Times New Roman" w:hAnsi="Times New Roman"/>
                <w:b/>
                <w:bCs/>
                <w:szCs w:val="24"/>
              </w:rPr>
              <w:t xml:space="preserve"> on this form</w:t>
            </w:r>
            <w:r w:rsidR="00592C07" w:rsidRPr="008D44B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8D44BD">
              <w:rPr>
                <w:rFonts w:ascii="Times New Roman" w:hAnsi="Times New Roman"/>
                <w:b/>
                <w:bCs/>
                <w:szCs w:val="24"/>
              </w:rPr>
              <w:t xml:space="preserve">no later than </w:t>
            </w:r>
            <w:r w:rsidR="004C28BA" w:rsidRPr="007E207C">
              <w:rPr>
                <w:rFonts w:ascii="Times New Roman" w:hAnsi="Times New Roman"/>
                <w:b/>
                <w:bCs/>
                <w:color w:val="A20000"/>
                <w:szCs w:val="24"/>
              </w:rPr>
              <w:t>February 14, 2025</w:t>
            </w:r>
            <w:r w:rsidRPr="008D44BD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  <w:p w14:paraId="24914593" w14:textId="77777777" w:rsidR="008D44BD" w:rsidRDefault="008D44BD" w:rsidP="002E32AC">
            <w:pPr>
              <w:rPr>
                <w:rFonts w:ascii="Times New Roman" w:hAnsi="Times New Roman"/>
                <w:szCs w:val="24"/>
              </w:rPr>
            </w:pPr>
          </w:p>
          <w:p w14:paraId="1648EE10" w14:textId="39709EB6" w:rsidR="009D2971" w:rsidRPr="00166AE2" w:rsidRDefault="009D2971" w:rsidP="009D29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66AE2">
              <w:rPr>
                <w:rFonts w:ascii="Times New Roman" w:hAnsi="Times New Roman"/>
                <w:b/>
                <w:szCs w:val="24"/>
              </w:rPr>
              <w:t>PLEASE PROVIDE THE FOLLOWING INFORMATION</w:t>
            </w:r>
          </w:p>
          <w:p w14:paraId="2028DF52" w14:textId="77777777" w:rsidR="00DA63C1" w:rsidRDefault="009D2971" w:rsidP="009D2971">
            <w:pPr>
              <w:jc w:val="center"/>
              <w:rPr>
                <w:rFonts w:ascii="Times New Roman" w:hAnsi="Times New Roman"/>
                <w:szCs w:val="24"/>
              </w:rPr>
            </w:pPr>
            <w:r w:rsidRPr="00166AE2">
              <w:rPr>
                <w:rFonts w:ascii="Times New Roman" w:hAnsi="Times New Roman"/>
                <w:szCs w:val="24"/>
              </w:rPr>
              <w:t xml:space="preserve">(Note: All information submitted on or with this form is </w:t>
            </w:r>
            <w:proofErr w:type="gramStart"/>
            <w:r w:rsidRPr="00166AE2">
              <w:rPr>
                <w:rFonts w:ascii="Times New Roman" w:hAnsi="Times New Roman"/>
                <w:szCs w:val="24"/>
              </w:rPr>
              <w:t>confidential;</w:t>
            </w:r>
            <w:proofErr w:type="gramEnd"/>
          </w:p>
          <w:p w14:paraId="197336D4" w14:textId="7EF88C3C" w:rsidR="009D2971" w:rsidRDefault="009D2971" w:rsidP="009D2971">
            <w:pPr>
              <w:jc w:val="center"/>
            </w:pPr>
            <w:r w:rsidRPr="00166AE2">
              <w:rPr>
                <w:rFonts w:ascii="Times New Roman" w:hAnsi="Times New Roman"/>
                <w:szCs w:val="24"/>
              </w:rPr>
              <w:t>9-A MRSA sec. 6-116(2))</w:t>
            </w:r>
          </w:p>
          <w:p w14:paraId="6535D474" w14:textId="77777777" w:rsidR="00F40E43" w:rsidRDefault="00F40E43"/>
        </w:tc>
      </w:tr>
      <w:tr w:rsidR="00F40E43" w14:paraId="7FBD1A51" w14:textId="77777777" w:rsidTr="002E32AC">
        <w:tc>
          <w:tcPr>
            <w:tcW w:w="9350" w:type="dxa"/>
          </w:tcPr>
          <w:p w14:paraId="7C2F92B7" w14:textId="77777777" w:rsidR="00F40E43" w:rsidRDefault="00F40E43" w:rsidP="002E32AC">
            <w:pPr>
              <w:rPr>
                <w:rFonts w:ascii="Times New Roman" w:hAnsi="Times New Roman"/>
                <w:szCs w:val="24"/>
              </w:rPr>
            </w:pPr>
          </w:p>
          <w:p w14:paraId="05839A9A" w14:textId="52AA1435" w:rsidR="00F40E43" w:rsidRDefault="00EC2F30" w:rsidP="002E32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 of Company:_______________________________________________________</w:t>
            </w:r>
            <w:r w:rsidR="008A0568">
              <w:rPr>
                <w:rFonts w:ascii="Times New Roman" w:hAnsi="Times New Roman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</w:t>
            </w:r>
          </w:p>
          <w:p w14:paraId="0D8CF673" w14:textId="77777777" w:rsidR="00EC2F30" w:rsidRDefault="00EC2F30" w:rsidP="002E32AC">
            <w:pPr>
              <w:rPr>
                <w:rFonts w:ascii="Times New Roman" w:hAnsi="Times New Roman"/>
                <w:szCs w:val="24"/>
              </w:rPr>
            </w:pPr>
          </w:p>
          <w:p w14:paraId="24F81115" w14:textId="61D61071" w:rsidR="00EC2F30" w:rsidRDefault="00EC2F30" w:rsidP="002E32AC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NMLS #: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_______________________________________________________</w:t>
            </w:r>
            <w:r w:rsidR="008A0568">
              <w:rPr>
                <w:rFonts w:ascii="Times New Roman" w:hAnsi="Times New Roman"/>
                <w:szCs w:val="24"/>
              </w:rPr>
              <w:t>_</w:t>
            </w:r>
            <w:r>
              <w:rPr>
                <w:rFonts w:ascii="Times New Roman" w:hAnsi="Times New Roman"/>
                <w:szCs w:val="24"/>
              </w:rPr>
              <w:t>____________</w:t>
            </w:r>
          </w:p>
          <w:p w14:paraId="215CD29A" w14:textId="77777777" w:rsidR="00EC2F30" w:rsidRDefault="00EC2F30" w:rsidP="002E32AC">
            <w:pPr>
              <w:rPr>
                <w:rFonts w:ascii="Times New Roman" w:hAnsi="Times New Roman"/>
                <w:szCs w:val="24"/>
              </w:rPr>
            </w:pPr>
          </w:p>
          <w:p w14:paraId="2F6E5871" w14:textId="2D488885" w:rsidR="00EC2F30" w:rsidRDefault="008650D0" w:rsidP="002E32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Contact Information:_________________________________________________________________</w:t>
            </w:r>
          </w:p>
          <w:p w14:paraId="27986DD5" w14:textId="77777777" w:rsidR="00F40E43" w:rsidRDefault="00F40E43" w:rsidP="002E32AC">
            <w:pPr>
              <w:rPr>
                <w:rFonts w:ascii="Times New Roman" w:hAnsi="Times New Roman"/>
                <w:szCs w:val="24"/>
              </w:rPr>
            </w:pPr>
          </w:p>
          <w:p w14:paraId="10F14533" w14:textId="77777777" w:rsidR="00F40E43" w:rsidRDefault="00F40E43" w:rsidP="002E32AC">
            <w:pPr>
              <w:rPr>
                <w:rFonts w:ascii="Times New Roman" w:hAnsi="Times New Roman"/>
                <w:szCs w:val="24"/>
              </w:rPr>
            </w:pPr>
          </w:p>
          <w:p w14:paraId="73CC4D44" w14:textId="77777777" w:rsidR="00F40E43" w:rsidRDefault="00F40E43" w:rsidP="002E32AC">
            <w:pPr>
              <w:rPr>
                <w:rFonts w:ascii="Times New Roman" w:hAnsi="Times New Roman"/>
                <w:szCs w:val="24"/>
              </w:rPr>
            </w:pPr>
          </w:p>
        </w:tc>
      </w:tr>
      <w:tr w:rsidR="002E32AC" w14:paraId="46007E54" w14:textId="77777777" w:rsidTr="002E32AC">
        <w:tc>
          <w:tcPr>
            <w:tcW w:w="9350" w:type="dxa"/>
          </w:tcPr>
          <w:p w14:paraId="6B62E7BE" w14:textId="07164BCB" w:rsidR="005C0AD1" w:rsidRPr="009D77EE" w:rsidRDefault="005C0AD1" w:rsidP="009D77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  <w:bCs/>
                <w:szCs w:val="24"/>
              </w:rPr>
            </w:pPr>
          </w:p>
          <w:p w14:paraId="3A76D62A" w14:textId="3A1E735B" w:rsidR="00FD5488" w:rsidRPr="00166AE2" w:rsidRDefault="00265C06" w:rsidP="00FD54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6F40FB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 w:rsidR="00FD5488" w:rsidRPr="00166AE2">
              <w:rPr>
                <w:rFonts w:ascii="Times New Roman" w:hAnsi="Times New Roman"/>
                <w:b/>
                <w:bCs/>
                <w:szCs w:val="24"/>
              </w:rPr>
              <w:t>SPREADSHEET OF 20</w:t>
            </w:r>
            <w:r w:rsidR="00FD5488">
              <w:rPr>
                <w:rFonts w:ascii="Times New Roman" w:hAnsi="Times New Roman"/>
                <w:b/>
                <w:bCs/>
                <w:szCs w:val="24"/>
              </w:rPr>
              <w:t>24</w:t>
            </w:r>
            <w:r w:rsidR="00FD5488" w:rsidRPr="00166AE2">
              <w:rPr>
                <w:rFonts w:ascii="Times New Roman" w:hAnsi="Times New Roman"/>
                <w:b/>
                <w:bCs/>
                <w:szCs w:val="24"/>
              </w:rPr>
              <w:t xml:space="preserve"> LOANS</w:t>
            </w:r>
            <w:r w:rsidR="00FD548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58649E1D" w14:textId="77777777" w:rsidR="00FD5488" w:rsidRDefault="00FD5488" w:rsidP="00FD54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Cs w:val="24"/>
              </w:rPr>
            </w:pPr>
          </w:p>
          <w:p w14:paraId="1547F034" w14:textId="749210EB" w:rsidR="00FD5488" w:rsidRDefault="00FD5488" w:rsidP="003D08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Cs w:val="24"/>
              </w:rPr>
            </w:pPr>
            <w:r w:rsidRPr="00166AE2">
              <w:rPr>
                <w:rFonts w:ascii="Times New Roman" w:hAnsi="Times New Roman"/>
                <w:szCs w:val="24"/>
              </w:rPr>
              <w:t>Attach to this form a spreadsheet of all loans</w:t>
            </w:r>
            <w:r w:rsidR="008701F9">
              <w:rPr>
                <w:rFonts w:ascii="Times New Roman" w:hAnsi="Times New Roman"/>
                <w:szCs w:val="24"/>
              </w:rPr>
              <w:t xml:space="preserve">, </w:t>
            </w:r>
            <w:r w:rsidRPr="00166AE2">
              <w:rPr>
                <w:rFonts w:ascii="Times New Roman" w:hAnsi="Times New Roman"/>
                <w:szCs w:val="24"/>
              </w:rPr>
              <w:t>leases</w:t>
            </w:r>
            <w:r w:rsidR="008701F9">
              <w:rPr>
                <w:rFonts w:ascii="Times New Roman" w:hAnsi="Times New Roman"/>
                <w:szCs w:val="24"/>
              </w:rPr>
              <w:t>, or extensions of credit</w:t>
            </w:r>
            <w:r w:rsidRPr="00166AE2">
              <w:rPr>
                <w:rFonts w:ascii="Times New Roman" w:hAnsi="Times New Roman"/>
                <w:szCs w:val="24"/>
              </w:rPr>
              <w:t xml:space="preserve"> your company made to Maine consumers in 20</w:t>
            </w:r>
            <w:r>
              <w:rPr>
                <w:rFonts w:ascii="Times New Roman" w:hAnsi="Times New Roman"/>
                <w:szCs w:val="24"/>
              </w:rPr>
              <w:t>24 (January 1, 2024 through December 31, 2024).</w:t>
            </w:r>
            <w:r w:rsidRPr="00166AE2">
              <w:rPr>
                <w:rFonts w:ascii="Times New Roman" w:hAnsi="Times New Roman"/>
                <w:szCs w:val="24"/>
              </w:rPr>
              <w:t xml:space="preserve">  </w:t>
            </w:r>
            <w:r>
              <w:rPr>
                <w:rFonts w:ascii="Times New Roman" w:hAnsi="Times New Roman"/>
                <w:szCs w:val="24"/>
              </w:rPr>
              <w:t>These are transactions in which your company appears as the initial lender</w:t>
            </w:r>
            <w:r w:rsidR="00F00917">
              <w:rPr>
                <w:rFonts w:ascii="Times New Roman" w:hAnsi="Times New Roman"/>
                <w:szCs w:val="24"/>
              </w:rPr>
              <w:t xml:space="preserve"> or creditor</w:t>
            </w:r>
            <w:r>
              <w:rPr>
                <w:rFonts w:ascii="Times New Roman" w:hAnsi="Times New Roman"/>
                <w:szCs w:val="24"/>
              </w:rPr>
              <w:t xml:space="preserve"> on the Note and/or security instrument. </w:t>
            </w:r>
            <w:r w:rsidRPr="00166AE2">
              <w:rPr>
                <w:rFonts w:ascii="Times New Roman" w:hAnsi="Times New Roman"/>
                <w:szCs w:val="24"/>
              </w:rPr>
              <w:t xml:space="preserve">At a minimum, the spreadsheet must </w:t>
            </w:r>
            <w:proofErr w:type="gramStart"/>
            <w:r w:rsidRPr="00166AE2">
              <w:rPr>
                <w:rFonts w:ascii="Times New Roman" w:hAnsi="Times New Roman"/>
                <w:szCs w:val="24"/>
              </w:rPr>
              <w:t>include:</w:t>
            </w:r>
            <w:proofErr w:type="gramEnd"/>
            <w:r w:rsidRPr="00166AE2">
              <w:rPr>
                <w:rFonts w:ascii="Times New Roman" w:hAnsi="Times New Roman"/>
                <w:szCs w:val="24"/>
              </w:rPr>
              <w:t xml:space="preserve"> </w:t>
            </w:r>
            <w:r w:rsidRPr="00943BA2">
              <w:rPr>
                <w:rFonts w:ascii="Times New Roman" w:hAnsi="Times New Roman"/>
                <w:b/>
                <w:bCs/>
                <w:szCs w:val="24"/>
              </w:rPr>
              <w:t>a)</w:t>
            </w:r>
            <w:r w:rsidRPr="00166AE2">
              <w:rPr>
                <w:rFonts w:ascii="Times New Roman" w:hAnsi="Times New Roman"/>
                <w:szCs w:val="24"/>
              </w:rPr>
              <w:t xml:space="preserve"> a loan number; </w:t>
            </w:r>
            <w:r w:rsidRPr="00943BA2">
              <w:rPr>
                <w:rFonts w:ascii="Times New Roman" w:hAnsi="Times New Roman"/>
                <w:b/>
                <w:bCs/>
                <w:szCs w:val="24"/>
              </w:rPr>
              <w:t>b)</w:t>
            </w:r>
            <w:r w:rsidRPr="00166AE2">
              <w:rPr>
                <w:rFonts w:ascii="Times New Roman" w:hAnsi="Times New Roman"/>
                <w:szCs w:val="24"/>
              </w:rPr>
              <w:t xml:space="preserve"> the dollar amount of each loan; </w:t>
            </w:r>
          </w:p>
          <w:p w14:paraId="5BCEBCA5" w14:textId="5B07E409" w:rsidR="00FD5488" w:rsidRDefault="00943BA2" w:rsidP="003D08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and,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FD5488" w:rsidRPr="00943BA2">
              <w:rPr>
                <w:rFonts w:ascii="Times New Roman" w:hAnsi="Times New Roman"/>
                <w:b/>
                <w:bCs/>
                <w:szCs w:val="24"/>
              </w:rPr>
              <w:t>c)</w:t>
            </w:r>
            <w:r w:rsidR="00FD5488" w:rsidRPr="00166AE2">
              <w:rPr>
                <w:rFonts w:ascii="Times New Roman" w:hAnsi="Times New Roman"/>
                <w:szCs w:val="24"/>
              </w:rPr>
              <w:t xml:space="preserve"> the type of loan (</w:t>
            </w:r>
            <w:r w:rsidR="00FD5488" w:rsidRPr="00166AE2">
              <w:rPr>
                <w:rFonts w:ascii="Times New Roman" w:hAnsi="Times New Roman"/>
                <w:i/>
                <w:iCs/>
                <w:szCs w:val="24"/>
              </w:rPr>
              <w:t>e.g</w:t>
            </w:r>
            <w:r w:rsidR="00FD5488" w:rsidRPr="00166AE2">
              <w:rPr>
                <w:rFonts w:ascii="Times New Roman" w:hAnsi="Times New Roman"/>
                <w:szCs w:val="24"/>
              </w:rPr>
              <w:t xml:space="preserve">., first </w:t>
            </w:r>
            <w:proofErr w:type="gramStart"/>
            <w:r w:rsidR="00FD5488" w:rsidRPr="00166AE2">
              <w:rPr>
                <w:rFonts w:ascii="Times New Roman" w:hAnsi="Times New Roman"/>
                <w:szCs w:val="24"/>
              </w:rPr>
              <w:t>lien</w:t>
            </w:r>
            <w:proofErr w:type="gramEnd"/>
            <w:r w:rsidR="00FD5488" w:rsidRPr="00166AE2">
              <w:rPr>
                <w:rFonts w:ascii="Times New Roman" w:hAnsi="Times New Roman"/>
                <w:szCs w:val="24"/>
              </w:rPr>
              <w:t>; home equity</w:t>
            </w:r>
            <w:r w:rsidR="00F00917">
              <w:rPr>
                <w:rFonts w:ascii="Times New Roman" w:hAnsi="Times New Roman"/>
                <w:szCs w:val="24"/>
              </w:rPr>
              <w:t>; line of credit</w:t>
            </w:r>
            <w:r w:rsidR="00FD5488" w:rsidRPr="00166AE2">
              <w:rPr>
                <w:rFonts w:ascii="Times New Roman" w:hAnsi="Times New Roman"/>
                <w:szCs w:val="24"/>
              </w:rPr>
              <w:t xml:space="preserve">; reverse).  </w:t>
            </w:r>
          </w:p>
          <w:p w14:paraId="075EBAB5" w14:textId="77777777" w:rsidR="00FD5488" w:rsidRDefault="00FD5488" w:rsidP="00FD54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20"/>
              <w:rPr>
                <w:rFonts w:ascii="Times New Roman" w:hAnsi="Times New Roman"/>
                <w:szCs w:val="24"/>
              </w:rPr>
            </w:pPr>
          </w:p>
          <w:p w14:paraId="7C02CBB7" w14:textId="582D7929" w:rsidR="00FD5488" w:rsidRPr="00166AE2" w:rsidRDefault="00FD5488" w:rsidP="00FD54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Cs w:val="24"/>
              </w:rPr>
            </w:pPr>
            <w:r w:rsidRPr="00166AE2">
              <w:rPr>
                <w:rFonts w:ascii="Times New Roman" w:hAnsi="Times New Roman"/>
                <w:szCs w:val="24"/>
              </w:rPr>
              <w:t xml:space="preserve">At the end of the spreadsheet, please total all loans to obtain the “Total Loan Amount.” </w:t>
            </w:r>
          </w:p>
          <w:p w14:paraId="124E301B" w14:textId="77777777" w:rsidR="00FD5488" w:rsidRPr="00166AE2" w:rsidRDefault="00FD5488" w:rsidP="00FD54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Cs w:val="24"/>
              </w:rPr>
            </w:pPr>
          </w:p>
          <w:p w14:paraId="4D8CCA6F" w14:textId="395AF4F3" w:rsidR="00F85187" w:rsidRDefault="00FD5488" w:rsidP="00FD54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0"/>
              </w:rPr>
            </w:pPr>
            <w:r w:rsidRPr="00166AE2">
              <w:rPr>
                <w:rFonts w:ascii="Times New Roman" w:hAnsi="Times New Roman"/>
                <w:sz w:val="20"/>
              </w:rPr>
              <w:t>*Note: For a</w:t>
            </w:r>
            <w:r>
              <w:rPr>
                <w:rFonts w:ascii="Times New Roman" w:hAnsi="Times New Roman"/>
                <w:sz w:val="20"/>
              </w:rPr>
              <w:t>ny loan your company made in 2024</w:t>
            </w:r>
            <w:r w:rsidRPr="00166AE2">
              <w:rPr>
                <w:rFonts w:ascii="Times New Roman" w:hAnsi="Times New Roman"/>
                <w:sz w:val="20"/>
              </w:rPr>
              <w:t xml:space="preserve"> that refinanced a previous loan </w:t>
            </w:r>
            <w:r w:rsidRPr="00166AE2">
              <w:rPr>
                <w:rFonts w:ascii="Times New Roman" w:hAnsi="Times New Roman"/>
                <w:i/>
                <w:iCs/>
                <w:sz w:val="20"/>
              </w:rPr>
              <w:t>that your company also made</w:t>
            </w:r>
            <w:r w:rsidRPr="00166AE2">
              <w:rPr>
                <w:rFonts w:ascii="Times New Roman" w:hAnsi="Times New Roman"/>
                <w:sz w:val="20"/>
              </w:rPr>
              <w:t>, only “new money” need</w:t>
            </w:r>
            <w:r w:rsidR="00587A8D">
              <w:rPr>
                <w:rFonts w:ascii="Times New Roman" w:hAnsi="Times New Roman"/>
                <w:sz w:val="20"/>
              </w:rPr>
              <w:t>s</w:t>
            </w:r>
            <w:r w:rsidRPr="00166AE2">
              <w:rPr>
                <w:rFonts w:ascii="Times New Roman" w:hAnsi="Times New Roman"/>
                <w:sz w:val="20"/>
              </w:rPr>
              <w:t xml:space="preserve"> be counted toward the Total Loan Amount.  </w:t>
            </w:r>
            <w:proofErr w:type="gramStart"/>
            <w:r w:rsidRPr="00166AE2">
              <w:rPr>
                <w:rFonts w:ascii="Times New Roman" w:hAnsi="Times New Roman"/>
                <w:sz w:val="20"/>
              </w:rPr>
              <w:t>In order to</w:t>
            </w:r>
            <w:proofErr w:type="gramEnd"/>
            <w:r w:rsidRPr="00166AE2">
              <w:rPr>
                <w:rFonts w:ascii="Times New Roman" w:hAnsi="Times New Roman"/>
                <w:sz w:val="20"/>
              </w:rPr>
              <w:t xml:space="preserve"> claim this deduction for any loan, you must show the specific details of the transaction (first loan’s original balance; new loan’s amount financed; and the difference between the two).</w:t>
            </w:r>
          </w:p>
          <w:p w14:paraId="42306A24" w14:textId="77777777" w:rsidR="00BB2978" w:rsidRPr="00166AE2" w:rsidRDefault="00BB2978" w:rsidP="00FD54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0"/>
              </w:rPr>
            </w:pPr>
          </w:p>
          <w:p w14:paraId="638B564E" w14:textId="77777777" w:rsidR="00E5041A" w:rsidRDefault="00E5041A" w:rsidP="00C6005A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  <w:bCs/>
                <w:szCs w:val="24"/>
              </w:rPr>
            </w:pPr>
          </w:p>
          <w:p w14:paraId="357F0534" w14:textId="074B01A9" w:rsidR="00C6005A" w:rsidRPr="00166AE2" w:rsidRDefault="00C6005A" w:rsidP="00C6005A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2</w:t>
            </w:r>
            <w:r w:rsidRPr="00166AE2">
              <w:rPr>
                <w:rFonts w:ascii="Times New Roman" w:hAnsi="Times New Roman"/>
                <w:b/>
                <w:bCs/>
                <w:szCs w:val="24"/>
              </w:rPr>
              <w:t>.  ADDITIONAL STATISTICAL INFORMATION REQUIRED</w:t>
            </w:r>
          </w:p>
          <w:p w14:paraId="64F75A87" w14:textId="77777777" w:rsidR="00C6005A" w:rsidRPr="00166AE2" w:rsidRDefault="00C6005A" w:rsidP="00C6005A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Cs w:val="24"/>
              </w:rPr>
            </w:pPr>
          </w:p>
          <w:p w14:paraId="0058E78E" w14:textId="280BA415" w:rsidR="00C6005A" w:rsidRPr="00265C06" w:rsidRDefault="00C6005A" w:rsidP="00265C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  <w:r w:rsidRPr="00265C06">
              <w:rPr>
                <w:rFonts w:ascii="Times New Roman" w:hAnsi="Times New Roman"/>
                <w:szCs w:val="24"/>
              </w:rPr>
              <w:t>Attach a list of the names and addresses of all “assignees” (those to whom you assigned or sold consumer credit sale</w:t>
            </w:r>
            <w:r w:rsidR="00C02391" w:rsidRPr="00265C06">
              <w:rPr>
                <w:rFonts w:ascii="Times New Roman" w:hAnsi="Times New Roman"/>
                <w:szCs w:val="24"/>
              </w:rPr>
              <w:t>s</w:t>
            </w:r>
            <w:r w:rsidRPr="00265C06">
              <w:rPr>
                <w:rFonts w:ascii="Times New Roman" w:hAnsi="Times New Roman"/>
                <w:szCs w:val="24"/>
              </w:rPr>
              <w:t>, lease</w:t>
            </w:r>
            <w:r w:rsidR="00C02391" w:rsidRPr="00265C06">
              <w:rPr>
                <w:rFonts w:ascii="Times New Roman" w:hAnsi="Times New Roman"/>
                <w:szCs w:val="24"/>
              </w:rPr>
              <w:t>s</w:t>
            </w:r>
            <w:r w:rsidRPr="00265C06">
              <w:rPr>
                <w:rFonts w:ascii="Times New Roman" w:hAnsi="Times New Roman"/>
                <w:szCs w:val="24"/>
              </w:rPr>
              <w:t xml:space="preserve"> or loan contracts) with whom your company did business in 2024, and the dollar amounts of contracts sold to each assignee.</w:t>
            </w:r>
          </w:p>
          <w:p w14:paraId="558854E1" w14:textId="7F903F8E" w:rsidR="00C6005A" w:rsidRPr="00265C06" w:rsidRDefault="00C6005A" w:rsidP="00265C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  <w:r w:rsidRPr="00265C06">
              <w:rPr>
                <w:rFonts w:ascii="Times New Roman" w:hAnsi="Times New Roman"/>
                <w:szCs w:val="24"/>
              </w:rPr>
              <w:t>List the number of foreclosure actions filed in court by your company on Maine residential properties in 2024:  __________________.</w:t>
            </w:r>
          </w:p>
          <w:p w14:paraId="6A2D2F20" w14:textId="1E0F1EB9" w:rsidR="00C6005A" w:rsidRPr="00265C06" w:rsidRDefault="00C6005A" w:rsidP="00265C0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  <w:r w:rsidRPr="00265C06">
              <w:rPr>
                <w:rFonts w:ascii="Times New Roman" w:hAnsi="Times New Roman"/>
                <w:szCs w:val="24"/>
              </w:rPr>
              <w:t>Attach a list or spreadsheet of all loans for which your company served as the loan broker rather than as the lender. Include, at a minimum: 1) a loan number; 2) the name and address of the lender; and 3) the dollar amount of the transaction.</w:t>
            </w:r>
          </w:p>
          <w:p w14:paraId="63937301" w14:textId="77777777" w:rsidR="0095558E" w:rsidRPr="00166AE2" w:rsidRDefault="0095558E" w:rsidP="00C6005A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Cs w:val="24"/>
              </w:rPr>
            </w:pPr>
          </w:p>
          <w:p w14:paraId="21F0909C" w14:textId="77777777" w:rsidR="00237199" w:rsidRDefault="0023719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381E393" w14:textId="4B58D7BF" w:rsidR="00A501DD" w:rsidRDefault="006032B5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Payment for Loan </w:t>
            </w:r>
            <w:r w:rsidR="00237199">
              <w:rPr>
                <w:rFonts w:ascii="Times New Roman" w:hAnsi="Times New Roman"/>
                <w:b/>
                <w:bCs/>
                <w:szCs w:val="24"/>
              </w:rPr>
              <w:t>Volume</w:t>
            </w:r>
            <w:r w:rsidR="00A501DD">
              <w:rPr>
                <w:rFonts w:ascii="Times New Roman" w:hAnsi="Times New Roman"/>
                <w:b/>
                <w:bCs/>
                <w:szCs w:val="24"/>
              </w:rPr>
              <w:t xml:space="preserve">:  </w:t>
            </w:r>
          </w:p>
          <w:p w14:paraId="60885FB0" w14:textId="77777777" w:rsidR="00F906CE" w:rsidRDefault="00F906CE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6147CB6" w14:textId="13FA28FF" w:rsidR="002178F6" w:rsidRPr="00534B8F" w:rsidRDefault="00A501DD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Cs w:val="24"/>
              </w:rPr>
            </w:pPr>
            <w:r w:rsidRPr="00534B8F">
              <w:rPr>
                <w:rFonts w:ascii="Times New Roman" w:hAnsi="Times New Roman"/>
                <w:szCs w:val="24"/>
              </w:rPr>
              <w:t xml:space="preserve">Pursuant to Maine Law, </w:t>
            </w:r>
            <w:r w:rsidR="001E087A" w:rsidRPr="00534B8F">
              <w:rPr>
                <w:rFonts w:ascii="Times New Roman" w:hAnsi="Times New Roman"/>
                <w:szCs w:val="24"/>
              </w:rPr>
              <w:t>lenders regulated by the Maine Bureau of Consumer Credit Protection who are supervised lenders making loans</w:t>
            </w:r>
            <w:r w:rsidR="00FB77D7" w:rsidRPr="00534B8F">
              <w:rPr>
                <w:rFonts w:ascii="Times New Roman" w:hAnsi="Times New Roman"/>
                <w:szCs w:val="24"/>
              </w:rPr>
              <w:t xml:space="preserve">, shall pay a volume fee on the original unpaid balances arising from consumer credit transactions entered into in </w:t>
            </w:r>
            <w:r w:rsidR="00674371" w:rsidRPr="00534B8F">
              <w:rPr>
                <w:rFonts w:ascii="Times New Roman" w:hAnsi="Times New Roman"/>
                <w:szCs w:val="24"/>
              </w:rPr>
              <w:t xml:space="preserve">Maine during the previous calendar year.  </w:t>
            </w:r>
          </w:p>
          <w:p w14:paraId="42B08F09" w14:textId="77777777" w:rsidR="00674371" w:rsidRPr="00534B8F" w:rsidRDefault="00674371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Cs w:val="24"/>
              </w:rPr>
            </w:pPr>
          </w:p>
          <w:p w14:paraId="703E6604" w14:textId="4F79495E" w:rsidR="00674371" w:rsidRPr="00534B8F" w:rsidRDefault="00674371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Cs w:val="24"/>
              </w:rPr>
            </w:pPr>
            <w:r w:rsidRPr="00534B8F">
              <w:rPr>
                <w:rFonts w:ascii="Times New Roman" w:hAnsi="Times New Roman"/>
                <w:szCs w:val="24"/>
              </w:rPr>
              <w:t xml:space="preserve">The </w:t>
            </w:r>
            <w:r w:rsidR="00E55790" w:rsidRPr="00534B8F">
              <w:rPr>
                <w:rFonts w:ascii="Times New Roman" w:hAnsi="Times New Roman"/>
                <w:szCs w:val="24"/>
              </w:rPr>
              <w:t xml:space="preserve">calculation of fees </w:t>
            </w:r>
            <w:r w:rsidR="00AD2638" w:rsidRPr="00534B8F">
              <w:rPr>
                <w:rFonts w:ascii="Times New Roman" w:hAnsi="Times New Roman"/>
                <w:szCs w:val="24"/>
              </w:rPr>
              <w:t>is based on the total loan volume for calendar year 2024</w:t>
            </w:r>
            <w:r w:rsidR="006221EE" w:rsidRPr="00534B8F">
              <w:rPr>
                <w:rFonts w:ascii="Times New Roman" w:hAnsi="Times New Roman"/>
                <w:szCs w:val="24"/>
              </w:rPr>
              <w:t xml:space="preserve"> (using the fee schedule below)</w:t>
            </w:r>
            <w:r w:rsidR="001243CB" w:rsidRPr="00534B8F">
              <w:rPr>
                <w:rFonts w:ascii="Times New Roman" w:hAnsi="Times New Roman"/>
                <w:szCs w:val="24"/>
              </w:rPr>
              <w:t>, plus an annual notification fee of $20, and applicable branch fees of $10 per Maine branch</w:t>
            </w:r>
            <w:r w:rsidR="006D29E7" w:rsidRPr="00534B8F">
              <w:rPr>
                <w:rFonts w:ascii="Times New Roman" w:hAnsi="Times New Roman"/>
                <w:szCs w:val="24"/>
              </w:rPr>
              <w:t>.</w:t>
            </w:r>
          </w:p>
          <w:p w14:paraId="104175A7" w14:textId="77777777" w:rsidR="004750B9" w:rsidRPr="00534B8F" w:rsidRDefault="004750B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Cs w:val="24"/>
              </w:rPr>
            </w:pPr>
          </w:p>
          <w:p w14:paraId="0C3D74B3" w14:textId="0AAB3837" w:rsidR="00A501DD" w:rsidRPr="00534B8F" w:rsidRDefault="00534B8F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Cs w:val="24"/>
              </w:rPr>
            </w:pPr>
            <w:r w:rsidRPr="007E207C">
              <w:rPr>
                <w:rFonts w:ascii="Times New Roman" w:hAnsi="Times New Roman"/>
                <w:color w:val="8C0000"/>
                <w:szCs w:val="24"/>
              </w:rPr>
              <w:t xml:space="preserve">The </w:t>
            </w:r>
            <w:r w:rsidR="004750B9" w:rsidRPr="007E207C">
              <w:rPr>
                <w:rFonts w:ascii="Times New Roman" w:hAnsi="Times New Roman"/>
                <w:color w:val="8C0000"/>
                <w:szCs w:val="24"/>
              </w:rPr>
              <w:t xml:space="preserve">Bureau will </w:t>
            </w:r>
            <w:r w:rsidR="008C29B2" w:rsidRPr="007E207C">
              <w:rPr>
                <w:rFonts w:ascii="Times New Roman" w:hAnsi="Times New Roman"/>
                <w:color w:val="8C0000"/>
                <w:szCs w:val="24"/>
              </w:rPr>
              <w:t xml:space="preserve">use the mortgage call report data on NMLS to assess the </w:t>
            </w:r>
            <w:r w:rsidR="00335EEC" w:rsidRPr="007E207C">
              <w:rPr>
                <w:rFonts w:ascii="Times New Roman" w:hAnsi="Times New Roman"/>
                <w:color w:val="8C0000"/>
                <w:szCs w:val="24"/>
              </w:rPr>
              <w:t xml:space="preserve">volume and total payment </w:t>
            </w:r>
            <w:r w:rsidR="002F052B" w:rsidRPr="007E207C">
              <w:rPr>
                <w:rFonts w:ascii="Times New Roman" w:hAnsi="Times New Roman"/>
                <w:color w:val="8C0000"/>
                <w:szCs w:val="24"/>
              </w:rPr>
              <w:t>required and</w:t>
            </w:r>
            <w:r w:rsidR="00335EEC" w:rsidRPr="007E207C">
              <w:rPr>
                <w:rFonts w:ascii="Times New Roman" w:hAnsi="Times New Roman"/>
                <w:color w:val="8C0000"/>
                <w:szCs w:val="24"/>
              </w:rPr>
              <w:t xml:space="preserve"> will invoice the company on NMLS.  </w:t>
            </w:r>
            <w:r w:rsidR="002F052B" w:rsidRPr="007E207C">
              <w:rPr>
                <w:rFonts w:ascii="Times New Roman" w:hAnsi="Times New Roman"/>
                <w:color w:val="8C0000"/>
                <w:szCs w:val="24"/>
              </w:rPr>
              <w:t xml:space="preserve">The </w:t>
            </w:r>
            <w:r w:rsidR="00F906CE" w:rsidRPr="007E207C">
              <w:rPr>
                <w:rFonts w:ascii="Times New Roman" w:hAnsi="Times New Roman"/>
                <w:color w:val="8C0000"/>
                <w:szCs w:val="24"/>
              </w:rPr>
              <w:t xml:space="preserve">invoice will be assessed once the MCR data is complete in NMLS, or by February 14, 2025. </w:t>
            </w:r>
            <w:r w:rsidR="00F906CE" w:rsidRPr="00534B8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If your company would prefer to pay via check or </w:t>
            </w:r>
            <w:r w:rsidR="00037480">
              <w:rPr>
                <w:rFonts w:ascii="Times New Roman" w:hAnsi="Times New Roman"/>
                <w:szCs w:val="24"/>
              </w:rPr>
              <w:t>with a credit card</w:t>
            </w:r>
            <w:r>
              <w:rPr>
                <w:rFonts w:ascii="Times New Roman" w:hAnsi="Times New Roman"/>
                <w:szCs w:val="24"/>
              </w:rPr>
              <w:t xml:space="preserve"> outside of NMLS, please </w:t>
            </w:r>
            <w:r w:rsidR="00FD6A17">
              <w:rPr>
                <w:rFonts w:ascii="Times New Roman" w:hAnsi="Times New Roman"/>
                <w:szCs w:val="24"/>
              </w:rPr>
              <w:t xml:space="preserve">reach out to the Bureau to </w:t>
            </w:r>
            <w:proofErr w:type="gramStart"/>
            <w:r w:rsidR="00FD6A17">
              <w:rPr>
                <w:rFonts w:ascii="Times New Roman" w:hAnsi="Times New Roman"/>
                <w:szCs w:val="24"/>
              </w:rPr>
              <w:t>make arrangements</w:t>
            </w:r>
            <w:proofErr w:type="gramEnd"/>
            <w:r w:rsidR="00FD6A17">
              <w:rPr>
                <w:rFonts w:ascii="Times New Roman" w:hAnsi="Times New Roman"/>
                <w:szCs w:val="24"/>
              </w:rPr>
              <w:t xml:space="preserve">.  (Additionally, if the total </w:t>
            </w:r>
            <w:r w:rsidR="00820C2F">
              <w:rPr>
                <w:rFonts w:ascii="Times New Roman" w:hAnsi="Times New Roman"/>
                <w:szCs w:val="24"/>
              </w:rPr>
              <w:t xml:space="preserve">amount due differs from the </w:t>
            </w:r>
            <w:r w:rsidR="006A70E6">
              <w:rPr>
                <w:rFonts w:ascii="Times New Roman" w:hAnsi="Times New Roman"/>
                <w:szCs w:val="24"/>
              </w:rPr>
              <w:t xml:space="preserve">assessment made from the </w:t>
            </w:r>
            <w:r w:rsidR="00820C2F">
              <w:rPr>
                <w:rFonts w:ascii="Times New Roman" w:hAnsi="Times New Roman"/>
                <w:szCs w:val="24"/>
              </w:rPr>
              <w:t xml:space="preserve">MCR data because of </w:t>
            </w:r>
            <w:r w:rsidR="00997779">
              <w:rPr>
                <w:rFonts w:ascii="Times New Roman" w:hAnsi="Times New Roman"/>
                <w:szCs w:val="24"/>
              </w:rPr>
              <w:t>refinance transactions</w:t>
            </w:r>
            <w:r w:rsidR="00037480">
              <w:rPr>
                <w:rFonts w:ascii="Times New Roman" w:hAnsi="Times New Roman"/>
                <w:szCs w:val="24"/>
              </w:rPr>
              <w:t xml:space="preserve">, </w:t>
            </w:r>
            <w:r w:rsidR="00E60770">
              <w:rPr>
                <w:rFonts w:ascii="Times New Roman" w:hAnsi="Times New Roman"/>
                <w:szCs w:val="24"/>
              </w:rPr>
              <w:t>please contact the Bureau.)</w:t>
            </w:r>
          </w:p>
          <w:p w14:paraId="5EAB385E" w14:textId="77777777" w:rsidR="00A501DD" w:rsidRDefault="00A501DD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26D3E93" w14:textId="2DF55227" w:rsidR="00237199" w:rsidRDefault="0023719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Fee </w:t>
            </w:r>
            <w:r w:rsidRPr="00166AE2">
              <w:rPr>
                <w:rFonts w:ascii="Times New Roman" w:hAnsi="Times New Roman"/>
                <w:b/>
                <w:bCs/>
                <w:szCs w:val="24"/>
              </w:rPr>
              <w:t>Schedule</w:t>
            </w:r>
          </w:p>
          <w:p w14:paraId="450854C3" w14:textId="77777777" w:rsidR="00237199" w:rsidRPr="00166AE2" w:rsidRDefault="00237199" w:rsidP="00C53B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rPr>
                <w:rFonts w:ascii="Times New Roman" w:hAnsi="Times New Roman"/>
                <w:b/>
                <w:sz w:val="16"/>
              </w:rPr>
            </w:pPr>
          </w:p>
          <w:p w14:paraId="6BA89CE5" w14:textId="77777777" w:rsidR="00237199" w:rsidRPr="00166AE2" w:rsidRDefault="0023719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b/>
                <w:sz w:val="16"/>
              </w:rPr>
            </w:pPr>
          </w:p>
          <w:p w14:paraId="3E97F826" w14:textId="77777777" w:rsidR="00237199" w:rsidRPr="00166AE2" w:rsidRDefault="0023719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TOTAL LOAN AMOUNT</w:t>
            </w:r>
            <w:r w:rsidRPr="00166AE2">
              <w:rPr>
                <w:rFonts w:ascii="Times New Roman" w:hAnsi="Times New Roman"/>
                <w:b/>
                <w:sz w:val="16"/>
              </w:rPr>
              <w:tab/>
            </w:r>
            <w:r w:rsidRPr="00166AE2">
              <w:rPr>
                <w:rFonts w:ascii="Times New Roman" w:hAnsi="Times New Roman"/>
                <w:b/>
                <w:sz w:val="16"/>
              </w:rPr>
              <w:tab/>
              <w:t>FEE</w:t>
            </w:r>
            <w:r w:rsidRPr="00166AE2">
              <w:rPr>
                <w:rFonts w:ascii="Times New Roman" w:hAnsi="Times New Roman"/>
                <w:b/>
                <w:sz w:val="16"/>
              </w:rPr>
              <w:tab/>
            </w:r>
            <w:r w:rsidRPr="00166AE2">
              <w:rPr>
                <w:rFonts w:ascii="Times New Roman" w:hAnsi="Times New Roman"/>
                <w:b/>
                <w:sz w:val="16"/>
              </w:rPr>
              <w:tab/>
            </w:r>
            <w:r w:rsidRPr="00166AE2">
              <w:rPr>
                <w:rFonts w:ascii="Times New Roman" w:hAnsi="Times New Roman"/>
                <w:b/>
                <w:sz w:val="16"/>
              </w:rPr>
              <w:tab/>
            </w:r>
            <w:r w:rsidRPr="00166AE2">
              <w:rPr>
                <w:rFonts w:ascii="Times New Roman" w:hAnsi="Times New Roman"/>
                <w:b/>
                <w:sz w:val="16"/>
              </w:rPr>
              <w:tab/>
            </w:r>
            <w:r>
              <w:rPr>
                <w:rFonts w:ascii="Times New Roman" w:hAnsi="Times New Roman"/>
                <w:b/>
                <w:sz w:val="16"/>
              </w:rPr>
              <w:t xml:space="preserve">TOTAL LOAN </w:t>
            </w:r>
            <w:r w:rsidRPr="00166AE2">
              <w:rPr>
                <w:rFonts w:ascii="Times New Roman" w:hAnsi="Times New Roman"/>
                <w:b/>
                <w:sz w:val="16"/>
              </w:rPr>
              <w:t>AMOUNT</w:t>
            </w:r>
            <w:r w:rsidRPr="00166AE2">
              <w:rPr>
                <w:rFonts w:ascii="Times New Roman" w:hAnsi="Times New Roman"/>
                <w:b/>
                <w:sz w:val="16"/>
              </w:rPr>
              <w:tab/>
            </w:r>
            <w:r w:rsidRPr="00166AE2">
              <w:rPr>
                <w:rFonts w:ascii="Times New Roman" w:hAnsi="Times New Roman"/>
                <w:b/>
                <w:sz w:val="16"/>
              </w:rPr>
              <w:tab/>
              <w:t>FEE</w:t>
            </w:r>
          </w:p>
          <w:p w14:paraId="6717A67D" w14:textId="77777777" w:rsidR="00237199" w:rsidRPr="00166AE2" w:rsidRDefault="0023719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b/>
                <w:sz w:val="6"/>
              </w:rPr>
            </w:pPr>
          </w:p>
          <w:p w14:paraId="115AFDB4" w14:textId="7C661FA4" w:rsidR="00237199" w:rsidRPr="00166AE2" w:rsidRDefault="0023719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 w:val="18"/>
              </w:rPr>
            </w:pPr>
            <w:r w:rsidRPr="00166AE2">
              <w:rPr>
                <w:rFonts w:ascii="Times New Roman" w:hAnsi="Times New Roman"/>
                <w:sz w:val="18"/>
              </w:rPr>
              <w:t>$           1 TO $</w:t>
            </w:r>
            <w:r>
              <w:rPr>
                <w:rFonts w:ascii="Times New Roman" w:hAnsi="Times New Roman"/>
                <w:sz w:val="18"/>
              </w:rPr>
              <w:t>100,000 - - - - - - - - - -  $15</w:t>
            </w:r>
            <w:r w:rsidRPr="00166AE2">
              <w:rPr>
                <w:rFonts w:ascii="Times New Roman" w:hAnsi="Times New Roman"/>
                <w:sz w:val="18"/>
              </w:rPr>
              <w:t xml:space="preserve"> </w:t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  <w:t>$500,001 TO $</w:t>
            </w:r>
            <w:proofErr w:type="gramStart"/>
            <w:r w:rsidRPr="00166AE2">
              <w:rPr>
                <w:rFonts w:ascii="Times New Roman" w:hAnsi="Times New Roman"/>
                <w:sz w:val="18"/>
              </w:rPr>
              <w:t>60</w:t>
            </w:r>
            <w:r>
              <w:rPr>
                <w:rFonts w:ascii="Times New Roman" w:hAnsi="Times New Roman"/>
                <w:sz w:val="18"/>
              </w:rPr>
              <w:t>0,000 -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- - - - - - - - - </w:t>
            </w:r>
            <w:r w:rsidR="002C78A5">
              <w:rPr>
                <w:rFonts w:ascii="Times New Roman" w:hAnsi="Times New Roman"/>
                <w:sz w:val="18"/>
              </w:rPr>
              <w:t>- -</w:t>
            </w:r>
            <w:r>
              <w:rPr>
                <w:rFonts w:ascii="Times New Roman" w:hAnsi="Times New Roman"/>
                <w:sz w:val="18"/>
              </w:rPr>
              <w:t>$90</w:t>
            </w:r>
          </w:p>
          <w:p w14:paraId="6AC39244" w14:textId="77777777" w:rsidR="00237199" w:rsidRPr="00166AE2" w:rsidRDefault="00237199" w:rsidP="00237199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8"/>
              </w:rPr>
            </w:pPr>
            <w:r w:rsidRPr="00166AE2">
              <w:rPr>
                <w:rFonts w:ascii="Times New Roman" w:hAnsi="Times New Roman"/>
                <w:sz w:val="18"/>
              </w:rPr>
              <w:t>$100,001 TO $</w:t>
            </w:r>
            <w:proofErr w:type="gramStart"/>
            <w:r w:rsidRPr="00166AE2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00,000 -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- - - - - - - - - - $30</w:t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  <w:t xml:space="preserve">$600,001 TO $700,000 - - - - - - - - </w:t>
            </w:r>
            <w:r>
              <w:rPr>
                <w:rFonts w:ascii="Times New Roman" w:hAnsi="Times New Roman"/>
                <w:sz w:val="18"/>
              </w:rPr>
              <w:t>- - - $105</w:t>
            </w:r>
          </w:p>
          <w:p w14:paraId="6BCF3D87" w14:textId="77777777" w:rsidR="00237199" w:rsidRPr="00166AE2" w:rsidRDefault="0023719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 w:val="18"/>
              </w:rPr>
            </w:pPr>
            <w:r w:rsidRPr="00166AE2">
              <w:rPr>
                <w:rFonts w:ascii="Times New Roman" w:hAnsi="Times New Roman"/>
                <w:sz w:val="18"/>
              </w:rPr>
              <w:t>$200,001 TO $3</w:t>
            </w:r>
            <w:r>
              <w:rPr>
                <w:rFonts w:ascii="Times New Roman" w:hAnsi="Times New Roman"/>
                <w:sz w:val="18"/>
              </w:rPr>
              <w:t>00,000 - - - - - - - - - - - $45</w:t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  <w:t>$700,001 TO $</w:t>
            </w:r>
            <w:proofErr w:type="gramStart"/>
            <w:r w:rsidRPr="00166AE2"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00,000 -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- - - - - - - - - - $120</w:t>
            </w:r>
          </w:p>
          <w:p w14:paraId="0878436E" w14:textId="77777777" w:rsidR="00237199" w:rsidRPr="00166AE2" w:rsidRDefault="0023719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 w:val="18"/>
              </w:rPr>
            </w:pPr>
            <w:r w:rsidRPr="00166AE2">
              <w:rPr>
                <w:rFonts w:ascii="Times New Roman" w:hAnsi="Times New Roman"/>
                <w:sz w:val="18"/>
              </w:rPr>
              <w:t>$300,001 TO $4</w:t>
            </w:r>
            <w:r>
              <w:rPr>
                <w:rFonts w:ascii="Times New Roman" w:hAnsi="Times New Roman"/>
                <w:sz w:val="18"/>
              </w:rPr>
              <w:t>00,000 - - - - - - - - -- -  $60</w:t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</w:r>
            <w:r w:rsidRPr="00166AE2">
              <w:rPr>
                <w:rFonts w:ascii="Times New Roman" w:hAnsi="Times New Roman"/>
                <w:sz w:val="18"/>
              </w:rPr>
              <w:tab/>
              <w:t>$800,001 TO $</w:t>
            </w:r>
            <w:proofErr w:type="gramStart"/>
            <w:r w:rsidRPr="00166AE2"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z w:val="18"/>
              </w:rPr>
              <w:t>00,000 -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- - - - - - - - - - $135</w:t>
            </w:r>
          </w:p>
          <w:p w14:paraId="08BF8F48" w14:textId="1D2318EE" w:rsidR="00237199" w:rsidRPr="00166AE2" w:rsidRDefault="0023719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</w:rPr>
            </w:pPr>
            <w:r w:rsidRPr="00166AE2">
              <w:rPr>
                <w:rFonts w:ascii="Times New Roman" w:hAnsi="Times New Roman"/>
                <w:sz w:val="18"/>
              </w:rPr>
              <w:t>$400,001 TO $5</w:t>
            </w:r>
            <w:r>
              <w:rPr>
                <w:rFonts w:ascii="Times New Roman" w:hAnsi="Times New Roman"/>
                <w:sz w:val="18"/>
              </w:rPr>
              <w:t>00,000 - - - - -</w:t>
            </w:r>
            <w:r w:rsidR="005E13B6">
              <w:rPr>
                <w:rFonts w:ascii="Times New Roman" w:hAnsi="Times New Roman"/>
                <w:sz w:val="18"/>
              </w:rPr>
              <w:t xml:space="preserve"> - - - - </w:t>
            </w:r>
            <w:r w:rsidR="00432D0C">
              <w:rPr>
                <w:rFonts w:ascii="Times New Roman" w:hAnsi="Times New Roman"/>
                <w:sz w:val="18"/>
              </w:rPr>
              <w:t xml:space="preserve">- </w:t>
            </w:r>
            <w:r w:rsidR="005E13B6">
              <w:rPr>
                <w:rFonts w:ascii="Times New Roman" w:hAnsi="Times New Roman"/>
                <w:sz w:val="18"/>
              </w:rPr>
              <w:t xml:space="preserve">- </w:t>
            </w:r>
            <w:r>
              <w:rPr>
                <w:rFonts w:ascii="Times New Roman" w:hAnsi="Times New Roman"/>
                <w:sz w:val="18"/>
              </w:rPr>
              <w:t>-$75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 xml:space="preserve"> $</w:t>
            </w:r>
            <w:r w:rsidRPr="00166AE2">
              <w:rPr>
                <w:rFonts w:ascii="Times New Roman" w:hAnsi="Times New Roman"/>
                <w:sz w:val="18"/>
              </w:rPr>
              <w:t>900,001 TO $</w:t>
            </w:r>
            <w:proofErr w:type="gramStart"/>
            <w:r>
              <w:rPr>
                <w:rFonts w:ascii="Times New Roman" w:hAnsi="Times New Roman"/>
                <w:sz w:val="18"/>
              </w:rPr>
              <w:t>1,000,000   -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- - - - </w:t>
            </w:r>
            <w:r w:rsidR="005E13B6">
              <w:rPr>
                <w:rFonts w:ascii="Times New Roman" w:hAnsi="Times New Roman"/>
                <w:sz w:val="18"/>
              </w:rPr>
              <w:t xml:space="preserve">- - - </w:t>
            </w:r>
            <w:r>
              <w:rPr>
                <w:rFonts w:ascii="Times New Roman" w:hAnsi="Times New Roman"/>
                <w:sz w:val="18"/>
              </w:rPr>
              <w:t>-$150*</w:t>
            </w:r>
          </w:p>
          <w:p w14:paraId="37E8791A" w14:textId="77777777" w:rsidR="00237199" w:rsidRPr="00166AE2" w:rsidRDefault="0023719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 w:val="6"/>
              </w:rPr>
            </w:pPr>
          </w:p>
          <w:p w14:paraId="6C7A99E8" w14:textId="77777777" w:rsidR="00237199" w:rsidRDefault="00237199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</w:t>
            </w:r>
            <w:r w:rsidRPr="00166AE2">
              <w:rPr>
                <w:rFonts w:ascii="Times New Roman" w:hAnsi="Times New Roman"/>
                <w:sz w:val="18"/>
              </w:rPr>
              <w:t xml:space="preserve">If your </w:t>
            </w:r>
            <w:r>
              <w:rPr>
                <w:rFonts w:ascii="Times New Roman" w:hAnsi="Times New Roman"/>
                <w:sz w:val="18"/>
              </w:rPr>
              <w:t xml:space="preserve">total loan amount exceeded </w:t>
            </w:r>
            <w:r w:rsidRPr="00166AE2">
              <w:rPr>
                <w:rFonts w:ascii="Times New Roman" w:hAnsi="Times New Roman"/>
                <w:sz w:val="18"/>
              </w:rPr>
              <w:t xml:space="preserve">$1,000,000 you can readily calculate the fee by extending the </w:t>
            </w:r>
            <w:r>
              <w:rPr>
                <w:rFonts w:ascii="Times New Roman" w:hAnsi="Times New Roman"/>
                <w:sz w:val="18"/>
              </w:rPr>
              <w:t xml:space="preserve">above </w:t>
            </w:r>
            <w:r w:rsidRPr="00166AE2">
              <w:rPr>
                <w:rFonts w:ascii="Times New Roman" w:hAnsi="Times New Roman"/>
                <w:sz w:val="18"/>
              </w:rPr>
              <w:t>schedule.</w:t>
            </w:r>
          </w:p>
          <w:p w14:paraId="5EDE586C" w14:textId="77777777" w:rsidR="006032B5" w:rsidRDefault="006032B5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 w:val="18"/>
              </w:rPr>
            </w:pPr>
          </w:p>
          <w:p w14:paraId="12FB165C" w14:textId="77777777" w:rsidR="006032B5" w:rsidRDefault="006032B5" w:rsidP="002371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F0D7"/>
              <w:jc w:val="center"/>
              <w:rPr>
                <w:rFonts w:ascii="Times New Roman" w:hAnsi="Times New Roman"/>
                <w:sz w:val="18"/>
              </w:rPr>
            </w:pPr>
          </w:p>
          <w:p w14:paraId="3F764A16" w14:textId="77777777" w:rsidR="00E5041A" w:rsidRPr="007E207C" w:rsidRDefault="00E5041A">
            <w:pPr>
              <w:rPr>
                <w:b/>
                <w:bCs/>
                <w:color w:val="A20000"/>
              </w:rPr>
            </w:pPr>
          </w:p>
          <w:p w14:paraId="51840A15" w14:textId="11F829B9" w:rsidR="002E32AC" w:rsidRPr="007E207C" w:rsidRDefault="001810CB">
            <w:pPr>
              <w:rPr>
                <w:b/>
                <w:bCs/>
                <w:color w:val="A20000"/>
              </w:rPr>
            </w:pPr>
            <w:r w:rsidRPr="007E207C">
              <w:rPr>
                <w:b/>
                <w:bCs/>
                <w:color w:val="A20000"/>
              </w:rPr>
              <w:t>Please mail the information contained in sections 1 and 2</w:t>
            </w:r>
            <w:r w:rsidR="00FC7C01" w:rsidRPr="007E207C">
              <w:rPr>
                <w:b/>
                <w:bCs/>
                <w:color w:val="A20000"/>
              </w:rPr>
              <w:t xml:space="preserve"> to the Bureau.  Do not include payment unless you have </w:t>
            </w:r>
            <w:proofErr w:type="gramStart"/>
            <w:r w:rsidR="00FC7C01" w:rsidRPr="007E207C">
              <w:rPr>
                <w:b/>
                <w:bCs/>
                <w:color w:val="A20000"/>
              </w:rPr>
              <w:t>made arrangements</w:t>
            </w:r>
            <w:proofErr w:type="gramEnd"/>
            <w:r w:rsidR="00FC7C01" w:rsidRPr="007E207C">
              <w:rPr>
                <w:b/>
                <w:bCs/>
                <w:color w:val="A20000"/>
              </w:rPr>
              <w:t xml:space="preserve"> to pay outside of NMLS</w:t>
            </w:r>
            <w:r w:rsidR="00250909" w:rsidRPr="007E207C">
              <w:rPr>
                <w:b/>
                <w:bCs/>
                <w:color w:val="A20000"/>
              </w:rPr>
              <w:t>.</w:t>
            </w:r>
            <w:r w:rsidR="00E5041A" w:rsidRPr="007E207C">
              <w:rPr>
                <w:b/>
                <w:bCs/>
                <w:color w:val="A20000"/>
              </w:rPr>
              <w:t xml:space="preserve">  </w:t>
            </w:r>
          </w:p>
          <w:p w14:paraId="402CDD68" w14:textId="77777777" w:rsidR="00250909" w:rsidRPr="007E207C" w:rsidRDefault="00250909">
            <w:pPr>
              <w:rPr>
                <w:b/>
                <w:bCs/>
                <w:color w:val="A20000"/>
              </w:rPr>
            </w:pPr>
          </w:p>
          <w:p w14:paraId="01B40595" w14:textId="77777777" w:rsidR="00265C06" w:rsidRDefault="00265C06" w:rsidP="00E5041A">
            <w:pPr>
              <w:jc w:val="center"/>
              <w:rPr>
                <w:u w:val="single"/>
              </w:rPr>
            </w:pPr>
          </w:p>
          <w:p w14:paraId="24777265" w14:textId="77777777" w:rsidR="00265C06" w:rsidRDefault="00265C06" w:rsidP="00E5041A">
            <w:pPr>
              <w:jc w:val="center"/>
              <w:rPr>
                <w:u w:val="single"/>
              </w:rPr>
            </w:pPr>
          </w:p>
          <w:p w14:paraId="3BC1AD28" w14:textId="7246E2CB" w:rsidR="00250909" w:rsidRPr="00E5041A" w:rsidRDefault="00250909" w:rsidP="00E5041A">
            <w:pPr>
              <w:jc w:val="center"/>
              <w:rPr>
                <w:u w:val="single"/>
              </w:rPr>
            </w:pPr>
            <w:r w:rsidRPr="00E5041A">
              <w:rPr>
                <w:u w:val="single"/>
              </w:rPr>
              <w:lastRenderedPageBreak/>
              <w:t>MAILING INFORMATION:</w:t>
            </w:r>
          </w:p>
          <w:p w14:paraId="39824787" w14:textId="77777777" w:rsidR="00250909" w:rsidRDefault="00250909" w:rsidP="00E5041A">
            <w:pPr>
              <w:jc w:val="center"/>
            </w:pPr>
          </w:p>
          <w:p w14:paraId="1255982F" w14:textId="57B26CDA" w:rsidR="009F67AE" w:rsidRDefault="009F67AE" w:rsidP="00E5041A">
            <w:pPr>
              <w:jc w:val="center"/>
            </w:pPr>
            <w:r>
              <w:t>PRIVATE (EXPRESS) DELIVERY</w:t>
            </w:r>
          </w:p>
          <w:p w14:paraId="575CE574" w14:textId="77777777" w:rsidR="00250909" w:rsidRDefault="00250909" w:rsidP="00E5041A">
            <w:pPr>
              <w:jc w:val="center"/>
            </w:pPr>
            <w:r>
              <w:t>BUREAU OF CONSUNMER CREDIT PROTECTION</w:t>
            </w:r>
          </w:p>
          <w:p w14:paraId="5E1EB299" w14:textId="77777777" w:rsidR="00250909" w:rsidRDefault="00250909" w:rsidP="00E5041A">
            <w:pPr>
              <w:jc w:val="center"/>
            </w:pPr>
            <w:r>
              <w:t>76 NORTHERN AVENUE</w:t>
            </w:r>
          </w:p>
          <w:p w14:paraId="2E0235DB" w14:textId="77777777" w:rsidR="00250909" w:rsidRDefault="00250909" w:rsidP="00E5041A">
            <w:pPr>
              <w:jc w:val="center"/>
            </w:pPr>
            <w:r>
              <w:t>GARDINER, ME 04345</w:t>
            </w:r>
          </w:p>
          <w:p w14:paraId="0CC6E42E" w14:textId="77777777" w:rsidR="009F67AE" w:rsidRDefault="009F67AE" w:rsidP="00E5041A">
            <w:pPr>
              <w:jc w:val="center"/>
            </w:pPr>
          </w:p>
          <w:p w14:paraId="54FEAE8C" w14:textId="0239B8CD" w:rsidR="009F67AE" w:rsidRDefault="009F67AE" w:rsidP="00E5041A">
            <w:pPr>
              <w:jc w:val="center"/>
            </w:pPr>
            <w:r>
              <w:t>US POSTAL SERVICE:</w:t>
            </w:r>
          </w:p>
          <w:p w14:paraId="5E92892A" w14:textId="77777777" w:rsidR="009F67AE" w:rsidRDefault="009F67AE" w:rsidP="00E5041A">
            <w:pPr>
              <w:jc w:val="center"/>
            </w:pPr>
            <w:r>
              <w:t>BUREAU OF CONSUNMER CREDIT PROTECTION</w:t>
            </w:r>
          </w:p>
          <w:p w14:paraId="32D33B91" w14:textId="77777777" w:rsidR="009F67AE" w:rsidRDefault="009F67AE" w:rsidP="00E5041A">
            <w:pPr>
              <w:jc w:val="center"/>
            </w:pPr>
            <w:r>
              <w:t>35 STATE HOUSE STATION</w:t>
            </w:r>
          </w:p>
          <w:p w14:paraId="61CD7A50" w14:textId="77777777" w:rsidR="00E5041A" w:rsidRDefault="009F67AE" w:rsidP="00E5041A">
            <w:pPr>
              <w:jc w:val="center"/>
            </w:pPr>
            <w:r>
              <w:t>AUGUSTA, ME 04333-0035</w:t>
            </w:r>
          </w:p>
          <w:p w14:paraId="2A764884" w14:textId="77777777" w:rsidR="002A7640" w:rsidRDefault="002A7640" w:rsidP="00E5041A">
            <w:pPr>
              <w:jc w:val="center"/>
            </w:pPr>
          </w:p>
          <w:p w14:paraId="7A89825E" w14:textId="77777777" w:rsidR="00F24E98" w:rsidRDefault="002A7640" w:rsidP="00F24E98">
            <w:pPr>
              <w:jc w:val="center"/>
              <w:rPr>
                <w:rStyle w:val="Hyperlink"/>
                <w:color w:val="auto"/>
              </w:rPr>
            </w:pPr>
            <w:r w:rsidRPr="00000DDD">
              <w:t xml:space="preserve">You can also email the information to </w:t>
            </w:r>
            <w:hyperlink r:id="rId7" w:history="1">
              <w:r w:rsidRPr="00000DDD">
                <w:rPr>
                  <w:rStyle w:val="Hyperlink"/>
                  <w:color w:val="auto"/>
                </w:rPr>
                <w:t>CCP.PFR@Maine.gov</w:t>
              </w:r>
            </w:hyperlink>
          </w:p>
          <w:p w14:paraId="53B44679" w14:textId="4596CED2" w:rsidR="00265C06" w:rsidRDefault="00265C06" w:rsidP="00F24E98">
            <w:pPr>
              <w:jc w:val="center"/>
            </w:pPr>
          </w:p>
        </w:tc>
      </w:tr>
    </w:tbl>
    <w:p w14:paraId="51868681" w14:textId="77777777" w:rsidR="003A7063" w:rsidRDefault="003A7063" w:rsidP="00E5041A"/>
    <w:sectPr w:rsidR="003A7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C4C7F" w14:textId="77777777" w:rsidR="002E77F9" w:rsidRDefault="002E77F9" w:rsidP="009C2669">
      <w:r>
        <w:separator/>
      </w:r>
    </w:p>
  </w:endnote>
  <w:endnote w:type="continuationSeparator" w:id="0">
    <w:p w14:paraId="6C07F0C5" w14:textId="77777777" w:rsidR="002E77F9" w:rsidRDefault="002E77F9" w:rsidP="009C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8D59E" w14:textId="77777777" w:rsidR="002E77F9" w:rsidRDefault="002E77F9" w:rsidP="009C2669">
      <w:r>
        <w:separator/>
      </w:r>
    </w:p>
  </w:footnote>
  <w:footnote w:type="continuationSeparator" w:id="0">
    <w:p w14:paraId="75E5A9A7" w14:textId="77777777" w:rsidR="002E77F9" w:rsidRDefault="002E77F9" w:rsidP="009C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45BCE"/>
    <w:multiLevelType w:val="hybridMultilevel"/>
    <w:tmpl w:val="0602D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5328D"/>
    <w:multiLevelType w:val="hybridMultilevel"/>
    <w:tmpl w:val="05805DB8"/>
    <w:lvl w:ilvl="0" w:tplc="BC36F1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A7071"/>
    <w:multiLevelType w:val="hybridMultilevel"/>
    <w:tmpl w:val="D5887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49539">
    <w:abstractNumId w:val="0"/>
  </w:num>
  <w:num w:numId="2" w16cid:durableId="1906142528">
    <w:abstractNumId w:val="2"/>
  </w:num>
  <w:num w:numId="3" w16cid:durableId="93062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C"/>
    <w:rsid w:val="00000DDD"/>
    <w:rsid w:val="00017641"/>
    <w:rsid w:val="00027633"/>
    <w:rsid w:val="00037480"/>
    <w:rsid w:val="000633BE"/>
    <w:rsid w:val="001243CB"/>
    <w:rsid w:val="001621D6"/>
    <w:rsid w:val="001810CB"/>
    <w:rsid w:val="001A731B"/>
    <w:rsid w:val="001B02E9"/>
    <w:rsid w:val="001C0374"/>
    <w:rsid w:val="001E087A"/>
    <w:rsid w:val="002178F6"/>
    <w:rsid w:val="00237199"/>
    <w:rsid w:val="00250909"/>
    <w:rsid w:val="00265C06"/>
    <w:rsid w:val="00285017"/>
    <w:rsid w:val="002A7640"/>
    <w:rsid w:val="002C78A5"/>
    <w:rsid w:val="002E32AC"/>
    <w:rsid w:val="002E77F9"/>
    <w:rsid w:val="002F052B"/>
    <w:rsid w:val="00335EEC"/>
    <w:rsid w:val="00354D6C"/>
    <w:rsid w:val="00376FBA"/>
    <w:rsid w:val="003A7063"/>
    <w:rsid w:val="003B6C6E"/>
    <w:rsid w:val="003C0AB9"/>
    <w:rsid w:val="003D080A"/>
    <w:rsid w:val="00432A4D"/>
    <w:rsid w:val="00432D0C"/>
    <w:rsid w:val="004750B9"/>
    <w:rsid w:val="004C28BA"/>
    <w:rsid w:val="00534B8F"/>
    <w:rsid w:val="00562825"/>
    <w:rsid w:val="00587A8D"/>
    <w:rsid w:val="00592C07"/>
    <w:rsid w:val="005C0AD1"/>
    <w:rsid w:val="005E13B6"/>
    <w:rsid w:val="006032B5"/>
    <w:rsid w:val="006221EE"/>
    <w:rsid w:val="00636D32"/>
    <w:rsid w:val="00674371"/>
    <w:rsid w:val="00686BB1"/>
    <w:rsid w:val="006A70E6"/>
    <w:rsid w:val="006D29E7"/>
    <w:rsid w:val="006F08B6"/>
    <w:rsid w:val="006F40FB"/>
    <w:rsid w:val="007E207C"/>
    <w:rsid w:val="00820C2F"/>
    <w:rsid w:val="008650D0"/>
    <w:rsid w:val="008701F9"/>
    <w:rsid w:val="00883422"/>
    <w:rsid w:val="008A0568"/>
    <w:rsid w:val="008C29B2"/>
    <w:rsid w:val="008D44BD"/>
    <w:rsid w:val="008F73A5"/>
    <w:rsid w:val="00943BA2"/>
    <w:rsid w:val="00952C1E"/>
    <w:rsid w:val="0095558E"/>
    <w:rsid w:val="00997779"/>
    <w:rsid w:val="009C2669"/>
    <w:rsid w:val="009D2971"/>
    <w:rsid w:val="009D77EE"/>
    <w:rsid w:val="009F67AE"/>
    <w:rsid w:val="00A501DD"/>
    <w:rsid w:val="00AD2638"/>
    <w:rsid w:val="00BB2978"/>
    <w:rsid w:val="00BF03CD"/>
    <w:rsid w:val="00C02391"/>
    <w:rsid w:val="00C41BFA"/>
    <w:rsid w:val="00C53B19"/>
    <w:rsid w:val="00C6005A"/>
    <w:rsid w:val="00CF158E"/>
    <w:rsid w:val="00DA63C1"/>
    <w:rsid w:val="00E022ED"/>
    <w:rsid w:val="00E5041A"/>
    <w:rsid w:val="00E55790"/>
    <w:rsid w:val="00E60770"/>
    <w:rsid w:val="00E71831"/>
    <w:rsid w:val="00E856E8"/>
    <w:rsid w:val="00EA420D"/>
    <w:rsid w:val="00EC2F30"/>
    <w:rsid w:val="00F00917"/>
    <w:rsid w:val="00F24E98"/>
    <w:rsid w:val="00F40E43"/>
    <w:rsid w:val="00F600E7"/>
    <w:rsid w:val="00F72E06"/>
    <w:rsid w:val="00F85187"/>
    <w:rsid w:val="00F86450"/>
    <w:rsid w:val="00F906CE"/>
    <w:rsid w:val="00FB77D7"/>
    <w:rsid w:val="00FC7C01"/>
    <w:rsid w:val="00FD5488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2D68"/>
  <w15:chartTrackingRefBased/>
  <w15:docId w15:val="{942DDD67-4844-4B7B-82A3-20C8272A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A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2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2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2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2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2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2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2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2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2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2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2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3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2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3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2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3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2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37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7199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504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41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C2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669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P.PFR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4075</Characters>
  <Application>Microsoft Office Word</Application>
  <DocSecurity>4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Fournier, Kristine M</dc:creator>
  <cp:keywords/>
  <dc:description/>
  <cp:lastModifiedBy>Lemieux, Steven</cp:lastModifiedBy>
  <cp:revision>2</cp:revision>
  <dcterms:created xsi:type="dcterms:W3CDTF">2025-01-13T14:21:00Z</dcterms:created>
  <dcterms:modified xsi:type="dcterms:W3CDTF">2025-01-13T14:21:00Z</dcterms:modified>
</cp:coreProperties>
</file>