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631F8B" w14:textId="432B41AE" w:rsidR="00F50A4C" w:rsidRPr="00F50A4C" w:rsidRDefault="00F50A4C" w:rsidP="00F50A4C">
      <w:pPr>
        <w:spacing w:after="0" w:line="278" w:lineRule="auto"/>
        <w:rPr>
          <w:color w:val="000000" w:themeColor="text1"/>
        </w:rPr>
      </w:pPr>
      <w:r w:rsidRPr="00F50A4C">
        <w:rPr>
          <w:color w:val="000000" w:themeColor="text1"/>
        </w:rPr>
        <w:t xml:space="preserve">Debbie-Anne A. Reese, Secretary                                               </w:t>
      </w:r>
      <w:r w:rsidR="0073676C">
        <w:rPr>
          <w:color w:val="000000" w:themeColor="text1"/>
        </w:rPr>
        <w:t>Septemb</w:t>
      </w:r>
      <w:r w:rsidR="003F0B4B">
        <w:rPr>
          <w:color w:val="000000" w:themeColor="text1"/>
        </w:rPr>
        <w:t>er</w:t>
      </w:r>
      <w:r w:rsidRPr="00F50A4C">
        <w:rPr>
          <w:color w:val="000000" w:themeColor="text1"/>
        </w:rPr>
        <w:t xml:space="preserve"> </w:t>
      </w:r>
      <w:r w:rsidR="00D33A70">
        <w:rPr>
          <w:color w:val="000000" w:themeColor="text1"/>
        </w:rPr>
        <w:t>16</w:t>
      </w:r>
      <w:r w:rsidRPr="00F50A4C">
        <w:rPr>
          <w:color w:val="000000" w:themeColor="text1"/>
        </w:rPr>
        <w:t>, 2026</w:t>
      </w:r>
    </w:p>
    <w:p w14:paraId="59BDD888" w14:textId="77777777" w:rsidR="00F50A4C" w:rsidRPr="00F50A4C" w:rsidRDefault="00F50A4C" w:rsidP="00F50A4C">
      <w:pPr>
        <w:spacing w:after="0" w:line="278" w:lineRule="auto"/>
        <w:rPr>
          <w:color w:val="000000" w:themeColor="text1"/>
        </w:rPr>
      </w:pPr>
      <w:r w:rsidRPr="00F50A4C">
        <w:rPr>
          <w:color w:val="000000" w:themeColor="text1"/>
        </w:rPr>
        <w:t xml:space="preserve"> Federal Energy Regulatory Commission</w:t>
      </w:r>
    </w:p>
    <w:p w14:paraId="6328CCB8" w14:textId="77777777" w:rsidR="00F50A4C" w:rsidRPr="00F50A4C" w:rsidRDefault="00F50A4C" w:rsidP="00F50A4C">
      <w:pPr>
        <w:spacing w:after="0" w:line="278" w:lineRule="auto"/>
        <w:rPr>
          <w:color w:val="000000" w:themeColor="text1"/>
        </w:rPr>
      </w:pPr>
      <w:r w:rsidRPr="00F50A4C">
        <w:rPr>
          <w:color w:val="000000" w:themeColor="text1"/>
        </w:rPr>
        <w:t xml:space="preserve"> 888 First Street, NE </w:t>
      </w:r>
    </w:p>
    <w:p w14:paraId="2F429D97" w14:textId="77777777" w:rsidR="00F50A4C" w:rsidRPr="00F50A4C" w:rsidRDefault="00F50A4C" w:rsidP="00F50A4C">
      <w:pPr>
        <w:spacing w:after="0" w:line="278" w:lineRule="auto"/>
        <w:rPr>
          <w:color w:val="000000" w:themeColor="text1"/>
        </w:rPr>
      </w:pPr>
      <w:r w:rsidRPr="00F50A4C">
        <w:rPr>
          <w:color w:val="000000" w:themeColor="text1"/>
        </w:rPr>
        <w:t xml:space="preserve"> Washington, DC 20426                  Via E-File</w:t>
      </w:r>
    </w:p>
    <w:p w14:paraId="29A46F2A" w14:textId="77777777" w:rsidR="00F50A4C" w:rsidRPr="00F50A4C" w:rsidRDefault="00F50A4C" w:rsidP="00F50A4C">
      <w:pPr>
        <w:spacing w:after="0" w:line="278" w:lineRule="auto"/>
        <w:rPr>
          <w:color w:val="000000" w:themeColor="text1"/>
        </w:rPr>
      </w:pPr>
    </w:p>
    <w:p w14:paraId="18F2C81D" w14:textId="6D126BA4" w:rsidR="00FC17CD" w:rsidRDefault="00F50A4C" w:rsidP="00F50A4C">
      <w:pPr>
        <w:spacing w:after="80" w:line="240" w:lineRule="auto"/>
        <w:contextualSpacing/>
        <w:rPr>
          <w:rFonts w:asciiTheme="majorHAnsi" w:eastAsiaTheme="majorEastAsia" w:hAnsiTheme="majorHAnsi" w:cstheme="majorBidi"/>
          <w:spacing w:val="-10"/>
          <w:kern w:val="28"/>
          <w:sz w:val="28"/>
          <w:szCs w:val="28"/>
        </w:rPr>
      </w:pPr>
      <w:r w:rsidRPr="00F50A4C">
        <w:rPr>
          <w:rFonts w:asciiTheme="majorHAnsi" w:eastAsiaTheme="majorEastAsia" w:hAnsiTheme="majorHAnsi" w:cstheme="majorBidi"/>
          <w:color w:val="000000" w:themeColor="text1"/>
          <w:spacing w:val="-10"/>
          <w:kern w:val="28"/>
          <w:sz w:val="56"/>
          <w:szCs w:val="56"/>
        </w:rPr>
        <w:t xml:space="preserve"> </w:t>
      </w:r>
      <w:proofErr w:type="gramStart"/>
      <w:r w:rsidRPr="00F50A4C">
        <w:rPr>
          <w:rFonts w:asciiTheme="majorHAnsi" w:eastAsiaTheme="majorEastAsia" w:hAnsiTheme="majorHAnsi" w:cstheme="majorBidi"/>
          <w:color w:val="000000" w:themeColor="text1"/>
          <w:spacing w:val="-10"/>
          <w:kern w:val="28"/>
        </w:rPr>
        <w:t>Subject</w:t>
      </w:r>
      <w:r w:rsidRPr="00877A3D">
        <w:rPr>
          <w:rFonts w:asciiTheme="majorHAnsi" w:eastAsiaTheme="majorEastAsia" w:hAnsiTheme="majorHAnsi" w:cstheme="majorBidi"/>
          <w:color w:val="000000" w:themeColor="text1"/>
          <w:spacing w:val="-10"/>
          <w:kern w:val="28"/>
          <w:sz w:val="28"/>
          <w:szCs w:val="28"/>
        </w:rPr>
        <w:t>:</w:t>
      </w:r>
      <w:r w:rsidR="00877A3D" w:rsidRPr="00877A3D">
        <w:rPr>
          <w:rFonts w:asciiTheme="majorHAnsi" w:eastAsiaTheme="majorEastAsia" w:hAnsiTheme="majorHAnsi" w:cstheme="majorBidi"/>
          <w:color w:val="000000" w:themeColor="text1"/>
          <w:spacing w:val="-10"/>
          <w:kern w:val="28"/>
          <w:sz w:val="28"/>
          <w:szCs w:val="28"/>
        </w:rPr>
        <w:t>:</w:t>
      </w:r>
      <w:proofErr w:type="gramEnd"/>
      <w:r w:rsidR="00877A3D" w:rsidRPr="00877A3D">
        <w:rPr>
          <w:rFonts w:asciiTheme="majorHAnsi" w:eastAsiaTheme="majorEastAsia" w:hAnsiTheme="majorHAnsi" w:cstheme="majorBidi"/>
          <w:color w:val="000000" w:themeColor="text1"/>
          <w:spacing w:val="-10"/>
          <w:kern w:val="28"/>
          <w:sz w:val="28"/>
          <w:szCs w:val="28"/>
        </w:rPr>
        <w:t xml:space="preserve"> </w:t>
      </w:r>
      <w:r w:rsidR="00877A3D">
        <w:rPr>
          <w:rFonts w:asciiTheme="majorHAnsi" w:eastAsiaTheme="majorEastAsia" w:hAnsiTheme="majorHAnsi" w:cstheme="majorBidi"/>
          <w:color w:val="000000" w:themeColor="text1"/>
          <w:spacing w:val="-10"/>
          <w:kern w:val="28"/>
          <w:sz w:val="28"/>
          <w:szCs w:val="28"/>
        </w:rPr>
        <w:t xml:space="preserve">Additional </w:t>
      </w:r>
      <w:r w:rsidRPr="00877A3D">
        <w:rPr>
          <w:rFonts w:asciiTheme="majorHAnsi" w:eastAsiaTheme="majorEastAsia" w:hAnsiTheme="majorHAnsi" w:cstheme="majorBidi"/>
          <w:spacing w:val="-10"/>
          <w:kern w:val="28"/>
          <w:sz w:val="28"/>
          <w:szCs w:val="28"/>
        </w:rPr>
        <w:t>Comments</w:t>
      </w:r>
      <w:r w:rsidRPr="00F50A4C">
        <w:rPr>
          <w:rFonts w:asciiTheme="majorHAnsi" w:eastAsiaTheme="majorEastAsia" w:hAnsiTheme="majorHAnsi" w:cstheme="majorBidi"/>
          <w:spacing w:val="-10"/>
          <w:kern w:val="28"/>
          <w:sz w:val="28"/>
          <w:szCs w:val="28"/>
        </w:rPr>
        <w:t xml:space="preserve"> on the Final License Applications for Projects P-2573 and P-2458</w:t>
      </w:r>
      <w:r w:rsidR="00877A3D">
        <w:rPr>
          <w:rFonts w:asciiTheme="majorHAnsi" w:eastAsiaTheme="majorEastAsia" w:hAnsiTheme="majorHAnsi" w:cstheme="majorBidi"/>
          <w:spacing w:val="-10"/>
          <w:kern w:val="28"/>
          <w:sz w:val="28"/>
          <w:szCs w:val="28"/>
        </w:rPr>
        <w:t xml:space="preserve"> and the need for </w:t>
      </w:r>
      <w:r w:rsidR="00194269">
        <w:rPr>
          <w:rFonts w:asciiTheme="majorHAnsi" w:eastAsiaTheme="majorEastAsia" w:hAnsiTheme="majorHAnsi" w:cstheme="majorBidi"/>
          <w:spacing w:val="-10"/>
          <w:kern w:val="28"/>
          <w:sz w:val="28"/>
          <w:szCs w:val="28"/>
        </w:rPr>
        <w:t>Strick</w:t>
      </w:r>
      <w:r w:rsidR="00FC17CD">
        <w:rPr>
          <w:rFonts w:asciiTheme="majorHAnsi" w:eastAsiaTheme="majorEastAsia" w:hAnsiTheme="majorHAnsi" w:cstheme="majorBidi"/>
          <w:spacing w:val="-10"/>
          <w:kern w:val="28"/>
          <w:sz w:val="28"/>
          <w:szCs w:val="28"/>
        </w:rPr>
        <w:t xml:space="preserve"> </w:t>
      </w:r>
      <w:proofErr w:type="gramStart"/>
      <w:r w:rsidR="00FC17CD">
        <w:rPr>
          <w:rFonts w:asciiTheme="majorHAnsi" w:eastAsiaTheme="majorEastAsia" w:hAnsiTheme="majorHAnsi" w:cstheme="majorBidi"/>
          <w:spacing w:val="-10"/>
          <w:kern w:val="28"/>
          <w:sz w:val="28"/>
          <w:szCs w:val="28"/>
        </w:rPr>
        <w:t xml:space="preserve">Compliance </w:t>
      </w:r>
      <w:r w:rsidR="006B6FA5">
        <w:rPr>
          <w:rFonts w:asciiTheme="majorHAnsi" w:eastAsiaTheme="majorEastAsia" w:hAnsiTheme="majorHAnsi" w:cstheme="majorBidi"/>
          <w:spacing w:val="-10"/>
          <w:kern w:val="28"/>
          <w:sz w:val="28"/>
          <w:szCs w:val="28"/>
        </w:rPr>
        <w:t xml:space="preserve"> </w:t>
      </w:r>
      <w:r w:rsidR="00194269">
        <w:rPr>
          <w:rFonts w:asciiTheme="majorHAnsi" w:eastAsiaTheme="majorEastAsia" w:hAnsiTheme="majorHAnsi" w:cstheme="majorBidi"/>
          <w:spacing w:val="-10"/>
          <w:kern w:val="28"/>
          <w:sz w:val="28"/>
          <w:szCs w:val="28"/>
        </w:rPr>
        <w:t>Guidelines</w:t>
      </w:r>
      <w:proofErr w:type="gramEnd"/>
      <w:r w:rsidR="00194269">
        <w:rPr>
          <w:rFonts w:asciiTheme="majorHAnsi" w:eastAsiaTheme="majorEastAsia" w:hAnsiTheme="majorHAnsi" w:cstheme="majorBidi"/>
          <w:spacing w:val="-10"/>
          <w:kern w:val="28"/>
          <w:sz w:val="28"/>
          <w:szCs w:val="28"/>
        </w:rPr>
        <w:t xml:space="preserve"> for </w:t>
      </w:r>
      <w:r w:rsidR="00C97D2E">
        <w:rPr>
          <w:rFonts w:asciiTheme="majorHAnsi" w:eastAsiaTheme="majorEastAsia" w:hAnsiTheme="majorHAnsi" w:cstheme="majorBidi"/>
          <w:spacing w:val="-10"/>
          <w:kern w:val="28"/>
          <w:sz w:val="28"/>
          <w:szCs w:val="28"/>
        </w:rPr>
        <w:t>Soon to be Written Licensee Articles</w:t>
      </w:r>
      <w:r w:rsidR="00FC17CD">
        <w:rPr>
          <w:rFonts w:asciiTheme="majorHAnsi" w:eastAsiaTheme="majorEastAsia" w:hAnsiTheme="majorHAnsi" w:cstheme="majorBidi"/>
          <w:spacing w:val="-10"/>
          <w:kern w:val="28"/>
          <w:sz w:val="28"/>
          <w:szCs w:val="28"/>
        </w:rPr>
        <w:t>.</w:t>
      </w:r>
    </w:p>
    <w:p w14:paraId="19667F07" w14:textId="77777777" w:rsidR="00FC17CD" w:rsidRPr="00FC17CD" w:rsidRDefault="00FC17CD" w:rsidP="00F50A4C">
      <w:pPr>
        <w:spacing w:after="80" w:line="240" w:lineRule="auto"/>
        <w:contextualSpacing/>
        <w:rPr>
          <w:rFonts w:asciiTheme="majorHAnsi" w:eastAsiaTheme="majorEastAsia" w:hAnsiTheme="majorHAnsi" w:cstheme="majorBidi"/>
          <w:spacing w:val="-10"/>
          <w:kern w:val="28"/>
          <w:sz w:val="28"/>
          <w:szCs w:val="28"/>
        </w:rPr>
      </w:pPr>
    </w:p>
    <w:p w14:paraId="31AB0797" w14:textId="0C23FDB2" w:rsidR="00F50A4C" w:rsidRPr="00F50A4C" w:rsidRDefault="00F50A4C" w:rsidP="00F50A4C">
      <w:pPr>
        <w:spacing w:after="80" w:line="240" w:lineRule="auto"/>
        <w:contextualSpacing/>
        <w:rPr>
          <w:rFonts w:asciiTheme="majorHAnsi" w:eastAsiaTheme="majorEastAsia" w:hAnsiTheme="majorHAnsi" w:cstheme="majorBidi"/>
          <w:color w:val="000000" w:themeColor="text1"/>
          <w:spacing w:val="-10"/>
          <w:kern w:val="28"/>
        </w:rPr>
      </w:pPr>
      <w:r w:rsidRPr="00F50A4C">
        <w:rPr>
          <w:rFonts w:asciiTheme="majorHAnsi" w:eastAsiaTheme="majorEastAsia" w:hAnsiTheme="majorHAnsi" w:cstheme="majorBidi"/>
          <w:color w:val="000000" w:themeColor="text1"/>
          <w:spacing w:val="-10"/>
          <w:kern w:val="28"/>
        </w:rPr>
        <w:t>Dear Secretary Reese:</w:t>
      </w:r>
    </w:p>
    <w:p w14:paraId="22340E2B" w14:textId="77777777" w:rsidR="00F50A4C" w:rsidRDefault="00F50A4C" w:rsidP="00562949"/>
    <w:p w14:paraId="6AA7D35D" w14:textId="77777777" w:rsidR="00A6102D" w:rsidRDefault="00FF7D43" w:rsidP="00FB0EFD">
      <w:r>
        <w:t xml:space="preserve">This filing </w:t>
      </w:r>
      <w:r w:rsidR="003F4F6B">
        <w:t>supplements comments on</w:t>
      </w:r>
      <w:r>
        <w:t xml:space="preserve"> the Final License </w:t>
      </w:r>
      <w:r w:rsidR="003F4F6B">
        <w:t>Applications</w:t>
      </w:r>
      <w:r>
        <w:t xml:space="preserve"> and </w:t>
      </w:r>
      <w:r w:rsidR="003F4F6B">
        <w:t>consolidates</w:t>
      </w:r>
      <w:r>
        <w:t xml:space="preserve"> concerns raised by agencies and other stakeholders. A recurring </w:t>
      </w:r>
      <w:r w:rsidR="003F4F6B">
        <w:t>concern</w:t>
      </w:r>
      <w:r>
        <w:t xml:space="preserve"> is the need </w:t>
      </w:r>
      <w:r w:rsidR="003F4F6B">
        <w:t>to promptly address</w:t>
      </w:r>
      <w:r>
        <w:t xml:space="preserve"> outage </w:t>
      </w:r>
      <w:r w:rsidR="003F4F6B">
        <w:t>impacts, establish</w:t>
      </w:r>
      <w:r>
        <w:t xml:space="preserve"> clear post-licensing requirements</w:t>
      </w:r>
      <w:r w:rsidR="003F4F6B">
        <w:t xml:space="preserve"> and </w:t>
      </w:r>
      <w:r>
        <w:t xml:space="preserve">their implications, and </w:t>
      </w:r>
      <w:r w:rsidR="003F4F6B">
        <w:t xml:space="preserve">ensure </w:t>
      </w:r>
      <w:r>
        <w:t>effective monitoring.</w:t>
      </w:r>
    </w:p>
    <w:p w14:paraId="164107CF" w14:textId="422BA1C3" w:rsidR="00A6102D" w:rsidRDefault="002200B8" w:rsidP="008A0113">
      <w:r>
        <w:t xml:space="preserve">As FERC Staff </w:t>
      </w:r>
      <w:r w:rsidR="006234CA">
        <w:t xml:space="preserve">begin the final stage of </w:t>
      </w:r>
      <w:r w:rsidR="00AD56AE">
        <w:t>preparing the</w:t>
      </w:r>
      <w:r w:rsidR="006234CA">
        <w:t xml:space="preserve"> two Licenses, </w:t>
      </w:r>
      <w:r w:rsidR="00F4096D">
        <w:t>the major interim problem is Mc</w:t>
      </w:r>
      <w:r w:rsidR="008B7C69">
        <w:t>Kay</w:t>
      </w:r>
      <w:r w:rsidR="00F4096D">
        <w:t xml:space="preserve"> </w:t>
      </w:r>
      <w:r w:rsidR="008B7C69">
        <w:t>Station</w:t>
      </w:r>
      <w:r w:rsidR="00F4096D">
        <w:t xml:space="preserve"> outages</w:t>
      </w:r>
      <w:r w:rsidR="00AD56AE">
        <w:t xml:space="preserve">. </w:t>
      </w:r>
      <w:r>
        <w:t xml:space="preserve">The Licensee’s response times of more than two hours during two major McKay Station outages </w:t>
      </w:r>
      <w:r w:rsidR="00330996">
        <w:t>further demonstrate</w:t>
      </w:r>
      <w:r>
        <w:t xml:space="preserve"> inadequate attention</w:t>
      </w:r>
      <w:r w:rsidR="00330996">
        <w:t xml:space="preserve"> to this issue.</w:t>
      </w:r>
      <w:r>
        <w:t xml:space="preserve"> The Final License Application offered no definitive solution</w:t>
      </w:r>
      <w:r w:rsidR="00330996">
        <w:t>,</w:t>
      </w:r>
      <w:r>
        <w:t xml:space="preserve"> asserting </w:t>
      </w:r>
      <w:r w:rsidR="00330996">
        <w:t xml:space="preserve">only </w:t>
      </w:r>
      <w:r>
        <w:t xml:space="preserve">that the proposed minimum flow of 1,700 cfs would provide protection. </w:t>
      </w:r>
      <w:r w:rsidR="00DE2CF2">
        <w:t>This statement is patiently wron</w:t>
      </w:r>
      <w:r w:rsidR="00C56BFB">
        <w:t>g</w:t>
      </w:r>
      <w:r w:rsidR="005A2707">
        <w:t>.</w:t>
      </w:r>
      <w:r>
        <w:t xml:space="preserve"> </w:t>
      </w:r>
      <w:r w:rsidR="00C41224">
        <w:t>I</w:t>
      </w:r>
      <w:r>
        <w:t>ncreasi</w:t>
      </w:r>
      <w:r w:rsidR="00BA0B00">
        <w:t>n</w:t>
      </w:r>
      <w:r>
        <w:t xml:space="preserve">g </w:t>
      </w:r>
      <w:proofErr w:type="gramStart"/>
      <w:r>
        <w:t>wetted</w:t>
      </w:r>
      <w:proofErr w:type="gramEnd"/>
      <w:r>
        <w:t xml:space="preserve"> </w:t>
      </w:r>
      <w:r w:rsidR="00C531A7">
        <w:t>areas</w:t>
      </w:r>
      <w:r>
        <w:t xml:space="preserve"> also </w:t>
      </w:r>
      <w:r w:rsidR="00330996">
        <w:t>enlarges</w:t>
      </w:r>
      <w:r>
        <w:t xml:space="preserve"> the </w:t>
      </w:r>
      <w:r w:rsidR="004277A0">
        <w:t>habitat</w:t>
      </w:r>
      <w:r w:rsidR="00F31F64">
        <w:t xml:space="preserve"> </w:t>
      </w:r>
      <w:r w:rsidR="00330996">
        <w:t>at risk.</w:t>
      </w:r>
      <w:r>
        <w:t xml:space="preserve"> Although higher minimum operating flows are beneficial, outages</w:t>
      </w:r>
      <w:r w:rsidR="00E87834">
        <w:t xml:space="preserve"> </w:t>
      </w:r>
      <w:r w:rsidR="00505947">
        <w:t xml:space="preserve">that occur at higher flows </w:t>
      </w:r>
      <w:r w:rsidR="00E87834">
        <w:t>will</w:t>
      </w:r>
      <w:r>
        <w:t xml:space="preserve"> </w:t>
      </w:r>
      <w:r w:rsidR="004277A0">
        <w:t>result in</w:t>
      </w:r>
      <w:r>
        <w:t xml:space="preserve"> </w:t>
      </w:r>
      <w:r w:rsidR="00330996">
        <w:t>greater losses of</w:t>
      </w:r>
      <w:r>
        <w:t xml:space="preserve"> aquatic </w:t>
      </w:r>
      <w:r w:rsidR="00330996">
        <w:t>life</w:t>
      </w:r>
      <w:r>
        <w:t>.</w:t>
      </w:r>
      <w:r w:rsidR="006155E9">
        <w:t xml:space="preserve"> Higher Minimum operation flows are the solution to McKay Station </w:t>
      </w:r>
      <w:r w:rsidR="00EF67BD">
        <w:t>outages</w:t>
      </w:r>
      <w:r w:rsidR="004A692E">
        <w:t>.</w:t>
      </w:r>
    </w:p>
    <w:p w14:paraId="7CDB316A" w14:textId="67887E8B" w:rsidR="00A6102D" w:rsidRDefault="0010189B" w:rsidP="00716832">
      <w:r>
        <w:t xml:space="preserve">Outage remains an </w:t>
      </w:r>
      <w:r w:rsidR="00FF322D">
        <w:t>unresolved</w:t>
      </w:r>
      <w:r>
        <w:t xml:space="preserve"> issue</w:t>
      </w:r>
      <w:r w:rsidR="00FF322D">
        <w:t xml:space="preserve">. In a May 24, </w:t>
      </w:r>
      <w:proofErr w:type="gramStart"/>
      <w:r w:rsidR="00FF322D">
        <w:t>2024</w:t>
      </w:r>
      <w:proofErr w:type="gramEnd"/>
      <w:r w:rsidR="00FF322D">
        <w:t xml:space="preserve"> letter, </w:t>
      </w:r>
      <w:r>
        <w:t xml:space="preserve">FERC staff </w:t>
      </w:r>
      <w:r w:rsidR="00FF322D">
        <w:t>asked</w:t>
      </w:r>
      <w:r w:rsidR="00681B27" w:rsidRPr="00681B27">
        <w:t xml:space="preserve"> </w:t>
      </w:r>
      <w:r w:rsidR="00681B27">
        <w:t xml:space="preserve">Great Lakes Hydro America (the </w:t>
      </w:r>
      <w:proofErr w:type="gramStart"/>
      <w:r w:rsidR="00681B27">
        <w:t xml:space="preserve">Licensee) </w:t>
      </w:r>
      <w:r>
        <w:t xml:space="preserve"> to</w:t>
      </w:r>
      <w:proofErr w:type="gramEnd"/>
      <w:r>
        <w:t xml:space="preserve"> address McKay Station outages </w:t>
      </w:r>
      <w:r w:rsidR="00FF322D">
        <w:t>(Accession</w:t>
      </w:r>
      <w:r>
        <w:t xml:space="preserve"> No</w:t>
      </w:r>
      <w:r w:rsidR="00FF322D">
        <w:t xml:space="preserve">. </w:t>
      </w:r>
      <w:r>
        <w:t>20240524-3001</w:t>
      </w:r>
      <w:r w:rsidR="00FF322D">
        <w:t xml:space="preserve">). In a </w:t>
      </w:r>
      <w:r>
        <w:t xml:space="preserve">September 8, </w:t>
      </w:r>
      <w:proofErr w:type="gramStart"/>
      <w:r>
        <w:t>2025</w:t>
      </w:r>
      <w:proofErr w:type="gramEnd"/>
      <w:r>
        <w:t xml:space="preserve"> letter</w:t>
      </w:r>
      <w:r w:rsidR="00FF322D">
        <w:t xml:space="preserve">, FERC again directed the Licensee </w:t>
      </w:r>
      <w:r>
        <w:t>“</w:t>
      </w:r>
      <w:r w:rsidRPr="006058D1">
        <w:rPr>
          <w:i/>
          <w:iCs/>
        </w:rPr>
        <w:t>to determine the magnitude of the adverse effects to the fish and macroinvertebrate community caused by this incident. Please provide a status update regarding your consultation efforts within 15 days of the date of this letter</w:t>
      </w:r>
      <w:r w:rsidRPr="00FF322D">
        <w:t>”</w:t>
      </w:r>
      <w:r>
        <w:t xml:space="preserve"> (</w:t>
      </w:r>
      <w:r w:rsidR="00FF322D">
        <w:t>Accession</w:t>
      </w:r>
      <w:r>
        <w:t xml:space="preserve"> No.</w:t>
      </w:r>
      <w:r w:rsidRPr="00AE2751">
        <w:t xml:space="preserve"> </w:t>
      </w:r>
      <w:r>
        <w:t>20250909-5113</w:t>
      </w:r>
      <w:r w:rsidR="00FF322D">
        <w:t>).</w:t>
      </w:r>
      <w:r w:rsidRPr="00FF322D">
        <w:t xml:space="preserve"> GLHA </w:t>
      </w:r>
      <w:r w:rsidR="00FF322D">
        <w:t>stated that it</w:t>
      </w:r>
      <w:r w:rsidRPr="00FF322D">
        <w:t xml:space="preserve"> “</w:t>
      </w:r>
      <w:r w:rsidRPr="000F19C6">
        <w:rPr>
          <w:i/>
          <w:iCs/>
        </w:rPr>
        <w:t>intends to propose more permanent and long-term protection measures for aquatic resources through the ongoing Project relicensing process</w:t>
      </w:r>
      <w:r w:rsidR="00FF322D">
        <w:t>”</w:t>
      </w:r>
      <w:r w:rsidRPr="00FF322D">
        <w:t xml:space="preserve"> (ibid</w:t>
      </w:r>
      <w:r w:rsidR="00FF322D">
        <w:t>.). Despite these filings,</w:t>
      </w:r>
      <w:r>
        <w:t xml:space="preserve"> the Licensee has remained </w:t>
      </w:r>
      <w:r w:rsidR="00FF322D">
        <w:t xml:space="preserve">largely </w:t>
      </w:r>
      <w:r>
        <w:t xml:space="preserve">silent and </w:t>
      </w:r>
      <w:r w:rsidR="00FF322D">
        <w:t>unresponsive</w:t>
      </w:r>
      <w:r>
        <w:t xml:space="preserve"> to FERC’s request.</w:t>
      </w:r>
    </w:p>
    <w:p w14:paraId="461E63B7" w14:textId="2A83612F" w:rsidR="00A6102D" w:rsidRDefault="00FF7D43" w:rsidP="00C0294A">
      <w:r>
        <w:t xml:space="preserve">The Licensee </w:t>
      </w:r>
      <w:r w:rsidR="00A739F2">
        <w:t>maintains</w:t>
      </w:r>
      <w:r>
        <w:t xml:space="preserve"> that </w:t>
      </w:r>
      <w:r>
        <w:rPr>
          <w:i/>
          <w:iCs/>
        </w:rPr>
        <w:t>nothing has changed</w:t>
      </w:r>
      <w:r>
        <w:t xml:space="preserve"> since FERC issued the 1996 License,</w:t>
      </w:r>
      <w:r w:rsidRPr="00220785">
        <w:t xml:space="preserve"> </w:t>
      </w:r>
      <w:r>
        <w:t xml:space="preserve">despite extensive </w:t>
      </w:r>
      <w:r w:rsidR="00A739F2">
        <w:t>studies documenting</w:t>
      </w:r>
      <w:r>
        <w:t xml:space="preserve"> declines in aquatic communities and recreational </w:t>
      </w:r>
      <w:r>
        <w:lastRenderedPageBreak/>
        <w:t xml:space="preserve">use. </w:t>
      </w:r>
      <w:r w:rsidR="00681B27">
        <w:t xml:space="preserve">The Licensee </w:t>
      </w:r>
      <w:r>
        <w:t xml:space="preserve">has also shown serious </w:t>
      </w:r>
      <w:r w:rsidR="00A739F2">
        <w:t>inattention</w:t>
      </w:r>
      <w:r>
        <w:t>—possibly negligence—</w:t>
      </w:r>
      <w:r w:rsidR="00A739F2">
        <w:t xml:space="preserve">in complying </w:t>
      </w:r>
      <w:r>
        <w:t xml:space="preserve">with </w:t>
      </w:r>
      <w:r>
        <w:t xml:space="preserve">existing License Articles. Although </w:t>
      </w:r>
      <w:r w:rsidR="00A739F2">
        <w:t>it</w:t>
      </w:r>
      <w:r>
        <w:t xml:space="preserve"> claims to follow a rule curve, </w:t>
      </w:r>
      <w:r w:rsidR="00A739F2">
        <w:t xml:space="preserve">it has routinely drawn down </w:t>
      </w:r>
      <w:r>
        <w:t xml:space="preserve">the Ripogenus Impoundment and </w:t>
      </w:r>
      <w:r w:rsidR="00DF19A3">
        <w:t xml:space="preserve">dewatering portions of </w:t>
      </w:r>
      <w:proofErr w:type="gramStart"/>
      <w:r w:rsidR="00DF19A3">
        <w:t xml:space="preserve">the </w:t>
      </w:r>
      <w:r>
        <w:t xml:space="preserve"> West</w:t>
      </w:r>
      <w:proofErr w:type="gramEnd"/>
      <w:r>
        <w:t xml:space="preserve"> Branch of the Penobscot River (West Branch</w:t>
      </w:r>
      <w:r w:rsidR="00A739F2">
        <w:t>)</w:t>
      </w:r>
      <w:r w:rsidR="00DF19A3">
        <w:t xml:space="preserve"> riverbed</w:t>
      </w:r>
      <w:r w:rsidR="00286A70">
        <w:t>.</w:t>
      </w:r>
      <w:r>
        <w:t xml:space="preserve"> </w:t>
      </w:r>
    </w:p>
    <w:p w14:paraId="2342C229" w14:textId="42DEE059" w:rsidR="00A6102D" w:rsidRDefault="00FF7D43" w:rsidP="00D42C17">
      <w:r>
        <w:t xml:space="preserve">Two broad issues require attention. First, </w:t>
      </w:r>
      <w:r w:rsidR="00A61D7C">
        <w:t>existing violations of</w:t>
      </w:r>
      <w:r>
        <w:t xml:space="preserve"> major License Articles must be corrected, including Upper Gorge </w:t>
      </w:r>
      <w:r w:rsidR="00286A70">
        <w:t>in</w:t>
      </w:r>
      <w:r>
        <w:t xml:space="preserve">flow temperatures, inadequate flows in Holbrook Bypass under Article 406, and </w:t>
      </w:r>
      <w:r w:rsidR="00A61D7C">
        <w:t>failure</w:t>
      </w:r>
      <w:r>
        <w:t xml:space="preserve"> to meet Millinocket Stream stocking requirements under Article 413. Second, </w:t>
      </w:r>
      <w:r w:rsidR="00A61D7C">
        <w:t xml:space="preserve">compliance with </w:t>
      </w:r>
      <w:r>
        <w:t>future License Articles must be monitored</w:t>
      </w:r>
      <w:r w:rsidR="00A61D7C">
        <w:t>. These provisions should cover</w:t>
      </w:r>
      <w:r>
        <w:t xml:space="preserve"> the rule curve; year-round Upper Gorge flow and temperature regimes; West Branch flows below Stone Dam and the results of the </w:t>
      </w:r>
      <w:r w:rsidR="00A61D7C">
        <w:t>related</w:t>
      </w:r>
      <w:r>
        <w:t xml:space="preserve"> fisheries management plan; and loon-nesting success on the impoundment. A </w:t>
      </w:r>
      <w:r w:rsidR="00FE3F82">
        <w:t xml:space="preserve">statewide </w:t>
      </w:r>
      <w:r>
        <w:t xml:space="preserve">MeDIFW lake whitefish restoration plan, which has not yet been formalized, </w:t>
      </w:r>
      <w:r w:rsidR="00A61D7C">
        <w:t>must</w:t>
      </w:r>
      <w:r>
        <w:t xml:space="preserve"> also be addressed. Monitoring should </w:t>
      </w:r>
      <w:r w:rsidR="00A61D7C">
        <w:t>evaluate</w:t>
      </w:r>
      <w:r>
        <w:t xml:space="preserve"> the environmental and recreational benefits of </w:t>
      </w:r>
      <w:r w:rsidR="00A61D7C">
        <w:t>measures required</w:t>
      </w:r>
      <w:r>
        <w:t xml:space="preserve"> by FERC and </w:t>
      </w:r>
      <w:r>
        <w:t>the Maine Department of Environmental Protection (</w:t>
      </w:r>
      <w:r w:rsidRPr="00900137">
        <w:rPr>
          <w:i/>
          <w:iCs/>
        </w:rPr>
        <w:t>MeDEP</w:t>
      </w:r>
      <w:r w:rsidRPr="00A61D7C">
        <w:t>).</w:t>
      </w:r>
    </w:p>
    <w:p w14:paraId="55CFA0B0" w14:textId="77777777" w:rsidR="00A6102D" w:rsidRDefault="00A026C3" w:rsidP="007A261A">
      <w:r>
        <w:t>In addition, apart from</w:t>
      </w:r>
      <w:r w:rsidRPr="00900137">
        <w:t xml:space="preserve"> its proposed but untested minimum</w:t>
      </w:r>
      <w:r w:rsidRPr="00A026C3">
        <w:t xml:space="preserve"> West Branch operating flow of 1,700 cfs, the Licensee has proposed few changes to the </w:t>
      </w:r>
      <w:r>
        <w:t xml:space="preserve">1996 License </w:t>
      </w:r>
      <w:r w:rsidRPr="00A026C3">
        <w:t>requirements</w:t>
      </w:r>
      <w:r>
        <w:t>.</w:t>
      </w:r>
      <w:r w:rsidRPr="00A026C3">
        <w:t xml:space="preserve"> Future License Articles should address the remediation and mitigation needs created by the Licensee’s shift from operations </w:t>
      </w:r>
      <w:r>
        <w:t>supporting</w:t>
      </w:r>
      <w:r w:rsidRPr="00A026C3">
        <w:t xml:space="preserve"> papermaking to</w:t>
      </w:r>
      <w:r>
        <w:t xml:space="preserve"> market-driven peaking operations for energy production.</w:t>
      </w:r>
    </w:p>
    <w:p w14:paraId="78F2FC43" w14:textId="77777777" w:rsidR="00A6102D" w:rsidRDefault="00FF7D43" w:rsidP="00AC0046">
      <w:r>
        <w:t xml:space="preserve">The FERC/MeDEP License will likely need to </w:t>
      </w:r>
      <w:r w:rsidR="00282062">
        <w:t>incorporate</w:t>
      </w:r>
      <w:r>
        <w:t xml:space="preserve"> some or all </w:t>
      </w:r>
      <w:r>
        <w:t xml:space="preserve">requirements proposed by agencies and stakeholders to bring the Ripogenus Impoundment, the West Branch below McKay Station, and the West Branch downstream of Stone Dam into compliance with Section 401 Water Quality Certification standards. The remaining question is who will conduct the </w:t>
      </w:r>
      <w:r w:rsidR="00282062">
        <w:t>required</w:t>
      </w:r>
      <w:r>
        <w:t xml:space="preserve"> monitoring</w:t>
      </w:r>
      <w:r w:rsidR="00282062">
        <w:t>.</w:t>
      </w:r>
    </w:p>
    <w:p w14:paraId="5DD4562F" w14:textId="3008F39F" w:rsidR="00A6102D" w:rsidRDefault="006E3D13" w:rsidP="00C2370C">
      <w:r>
        <w:t xml:space="preserve">The Licensee has a poor compliance record, and self-monitoring has failed. </w:t>
      </w:r>
      <w:r w:rsidR="005C0D12">
        <w:t>They</w:t>
      </w:r>
      <w:r>
        <w:t xml:space="preserve"> released warm surface water to the Upper Gorge; failed to maintain flows of 35 and 65 cfs in Holbrook Bypass Stream; stocked 17,000 two-inch brook trout in Millinocket Stream instead of fish sized at “three to a pound”; and dewatered loon-nesting platforms. It also failed to respond adequately to FERC’s request concerning McKay Station outages, a problem compounded by delayed responses to two major outages.</w:t>
      </w:r>
    </w:p>
    <w:p w14:paraId="4E4C6B99" w14:textId="77777777" w:rsidR="00A6102D" w:rsidRDefault="00FF7D43" w:rsidP="00A117FA">
      <w:r>
        <w:t xml:space="preserve">Neither the Licensee nor its subcontractors should conduct post-licensing monitoring. That responsibility should rest with MeDIFW, the agency primarily </w:t>
      </w:r>
      <w:r w:rsidR="0012617E">
        <w:t>charged with</w:t>
      </w:r>
      <w:r>
        <w:t xml:space="preserve"> protecting these environmental and recreational resources. However, MeDIFW is already understaffed and underfunded.</w:t>
      </w:r>
    </w:p>
    <w:p w14:paraId="6B5CB407" w14:textId="2FBBBDE0" w:rsidR="00A6102D" w:rsidRDefault="00FF7D43" w:rsidP="004A01B6">
      <w:r>
        <w:lastRenderedPageBreak/>
        <w:t xml:space="preserve">Project waters are </w:t>
      </w:r>
      <w:r w:rsidR="00920A0E">
        <w:t>about</w:t>
      </w:r>
      <w:r>
        <w:t xml:space="preserve"> one hour from MeDIFW’s Enfield and Greenville offices. </w:t>
      </w:r>
      <w:r w:rsidR="00920A0E">
        <w:t xml:space="preserve">Existing </w:t>
      </w:r>
      <w:r>
        <w:t xml:space="preserve">staff </w:t>
      </w:r>
      <w:r w:rsidR="00920A0E">
        <w:t xml:space="preserve">should not be expected </w:t>
      </w:r>
      <w:r>
        <w:t xml:space="preserve">to absorb the costs </w:t>
      </w:r>
      <w:r w:rsidR="00920A0E">
        <w:t xml:space="preserve">of monitoring </w:t>
      </w:r>
      <w:r>
        <w:t xml:space="preserve">future License Articles. A full-time </w:t>
      </w:r>
      <w:r w:rsidR="00920A0E">
        <w:t>fisheries</w:t>
      </w:r>
      <w:r>
        <w:t xml:space="preserve"> biologist is needed, either as a MeDIFW employee or </w:t>
      </w:r>
      <w:r w:rsidR="00920A0E">
        <w:t>under</w:t>
      </w:r>
      <w:r>
        <w:t xml:space="preserve"> a contract administered by the Greenville Regional Office, </w:t>
      </w:r>
      <w:r w:rsidR="00920A0E">
        <w:t>because</w:t>
      </w:r>
      <w:r>
        <w:t xml:space="preserve"> most project waters </w:t>
      </w:r>
      <w:r w:rsidR="00920A0E">
        <w:t>lie</w:t>
      </w:r>
      <w:r>
        <w:t xml:space="preserve"> within that region. This </w:t>
      </w:r>
      <w:r w:rsidR="00920A0E">
        <w:t>person</w:t>
      </w:r>
      <w:r>
        <w:t xml:space="preserve"> should devote </w:t>
      </w:r>
      <w:r w:rsidR="00920A0E">
        <w:t>about</w:t>
      </w:r>
      <w:r>
        <w:t xml:space="preserve"> 90% of their time to monitoring proposed mitigation and enhancement measures. Existing MeDIFW staff would </w:t>
      </w:r>
      <w:r w:rsidR="00920A0E">
        <w:t>assist with</w:t>
      </w:r>
      <w:r>
        <w:t xml:space="preserve"> electrofishing and any trap-netting efforts.</w:t>
      </w:r>
    </w:p>
    <w:p w14:paraId="690A1D76" w14:textId="77777777" w:rsidR="00A6102D" w:rsidRDefault="00FF7D43" w:rsidP="000D105E">
      <w:r>
        <w:t>Anticipated monitoring activities include the following:</w:t>
      </w:r>
    </w:p>
    <w:p w14:paraId="4DCB9DD3" w14:textId="64DF5FCB" w:rsidR="00A6102D" w:rsidRDefault="00FF7D43" w:rsidP="00886248">
      <w:r w:rsidRPr="00F87AEB">
        <w:rPr>
          <w:b/>
        </w:rPr>
        <w:t xml:space="preserve">Creel </w:t>
      </w:r>
      <w:r>
        <w:rPr>
          <w:b/>
          <w:bCs/>
        </w:rPr>
        <w:t>surveys:</w:t>
      </w:r>
      <w:r>
        <w:t xml:space="preserve"> Conduct surveys every other year on the West Branch downstream of McKay Station, the Ripogenus and North Twin impoundments</w:t>
      </w:r>
      <w:r w:rsidR="00BD651D">
        <w:t xml:space="preserve"> (presum</w:t>
      </w:r>
      <w:r w:rsidR="00441929">
        <w:t>ably winter surveys)</w:t>
      </w:r>
      <w:r w:rsidR="00E801CA">
        <w:t>,</w:t>
      </w:r>
      <w:r>
        <w:t xml:space="preserve"> and the West Branch downstream of Stone Dam</w:t>
      </w:r>
      <w:r w:rsidR="00010505">
        <w:t xml:space="preserve"> in </w:t>
      </w:r>
      <w:r w:rsidR="00E801CA">
        <w:t>coordinated</w:t>
      </w:r>
      <w:r>
        <w:t xml:space="preserve"> with </w:t>
      </w:r>
      <w:r w:rsidR="00E801CA">
        <w:t>surveys</w:t>
      </w:r>
      <w:r>
        <w:t xml:space="preserve"> of the Millinocket facility tailwater.</w:t>
      </w:r>
    </w:p>
    <w:p w14:paraId="282C2586" w14:textId="5F2A7226" w:rsidR="00A6102D" w:rsidRDefault="00BC0D4B" w:rsidP="00787EEC">
      <w:r w:rsidRPr="00FF2284">
        <w:rPr>
          <w:b/>
        </w:rPr>
        <w:t xml:space="preserve">Smelt </w:t>
      </w:r>
      <w:r w:rsidR="00FF2284">
        <w:rPr>
          <w:b/>
          <w:bCs/>
        </w:rPr>
        <w:t>drift-net</w:t>
      </w:r>
      <w:r w:rsidRPr="00FF2284">
        <w:rPr>
          <w:b/>
        </w:rPr>
        <w:t xml:space="preserve"> sampling:</w:t>
      </w:r>
      <w:r>
        <w:t xml:space="preserve"> </w:t>
      </w:r>
      <w:r w:rsidR="007A57AD">
        <w:t>W</w:t>
      </w:r>
      <w:r w:rsidR="00757ADB">
        <w:t>eekly s</w:t>
      </w:r>
      <w:r w:rsidR="00FF2284">
        <w:t>ampl</w:t>
      </w:r>
      <w:r w:rsidR="00757ADB">
        <w:t>ing</w:t>
      </w:r>
      <w:r w:rsidR="00FF2284">
        <w:t xml:space="preserve"> below</w:t>
      </w:r>
      <w:r>
        <w:t xml:space="preserve"> McKay Station</w:t>
      </w:r>
      <w:r w:rsidR="00757ADB">
        <w:t>, in the Holbrook Pool area,</w:t>
      </w:r>
      <w:r>
        <w:t xml:space="preserve"> </w:t>
      </w:r>
      <w:r w:rsidR="00FF2284">
        <w:t>to verify improvements in the</w:t>
      </w:r>
      <w:r>
        <w:t xml:space="preserve"> littoral zone</w:t>
      </w:r>
      <w:r w:rsidR="00EE17D8">
        <w:t xml:space="preserve"> and the resulting production of juvenile smelt</w:t>
      </w:r>
      <w:r w:rsidR="00FF2284">
        <w:t>.</w:t>
      </w:r>
    </w:p>
    <w:p w14:paraId="562F2BF2" w14:textId="2E03C2AB" w:rsidR="00A6102D" w:rsidRDefault="00BC0D4B" w:rsidP="00414F4F">
      <w:r w:rsidRPr="00262B5D">
        <w:rPr>
          <w:b/>
        </w:rPr>
        <w:t>Electrofishing:</w:t>
      </w:r>
      <w:r>
        <w:t xml:space="preserve"> </w:t>
      </w:r>
      <w:r w:rsidR="00262B5D">
        <w:t xml:space="preserve">Conduct surveys in the </w:t>
      </w:r>
      <w:r>
        <w:t xml:space="preserve">West Branch </w:t>
      </w:r>
      <w:r w:rsidR="00262B5D">
        <w:t>below</w:t>
      </w:r>
      <w:r>
        <w:t xml:space="preserve"> Stone Dam</w:t>
      </w:r>
      <w:r w:rsidR="00262B5D">
        <w:t xml:space="preserve"> and in the</w:t>
      </w:r>
      <w:r>
        <w:t xml:space="preserve"> Holbrook Bypass Channel</w:t>
      </w:r>
      <w:r w:rsidR="001557B3">
        <w:t xml:space="preserve"> to verify</w:t>
      </w:r>
      <w:r w:rsidR="00DF4564">
        <w:t xml:space="preserve"> salmon fry </w:t>
      </w:r>
      <w:r w:rsidR="00663600">
        <w:t xml:space="preserve">and parr </w:t>
      </w:r>
      <w:r w:rsidR="00DF4564">
        <w:t>production.</w:t>
      </w:r>
    </w:p>
    <w:p w14:paraId="0E0E3776" w14:textId="77777777" w:rsidR="00A6102D" w:rsidRDefault="00FF7D43" w:rsidP="00453F13">
      <w:r w:rsidRPr="00B11C36">
        <w:rPr>
          <w:b/>
        </w:rPr>
        <w:t xml:space="preserve">Monthly </w:t>
      </w:r>
      <w:r>
        <w:rPr>
          <w:b/>
          <w:bCs/>
        </w:rPr>
        <w:t>plankton</w:t>
      </w:r>
      <w:r w:rsidRPr="00B11C36">
        <w:rPr>
          <w:b/>
        </w:rPr>
        <w:t xml:space="preserve"> sampling:</w:t>
      </w:r>
      <w:r>
        <w:t xml:space="preserve"> </w:t>
      </w:r>
      <w:r w:rsidR="003C26FA">
        <w:t>Sample</w:t>
      </w:r>
      <w:r>
        <w:t xml:space="preserve"> historic sites </w:t>
      </w:r>
      <w:r w:rsidR="003C26FA">
        <w:t>in the</w:t>
      </w:r>
      <w:r>
        <w:t xml:space="preserve"> Chesuncook and Caribou Lake basins.</w:t>
      </w:r>
    </w:p>
    <w:p w14:paraId="46D7216D" w14:textId="3A012CEA" w:rsidR="00A6102D" w:rsidRDefault="00FF7D43" w:rsidP="00BE6E8D">
      <w:r w:rsidRPr="00742128">
        <w:rPr>
          <w:b/>
        </w:rPr>
        <w:t xml:space="preserve">Salmonid </w:t>
      </w:r>
      <w:r>
        <w:rPr>
          <w:b/>
          <w:bCs/>
        </w:rPr>
        <w:t>age-and</w:t>
      </w:r>
      <w:r w:rsidRPr="00742128">
        <w:rPr>
          <w:b/>
        </w:rPr>
        <w:t>-growth data:</w:t>
      </w:r>
      <w:r>
        <w:t xml:space="preserve"> </w:t>
      </w:r>
      <w:proofErr w:type="gramStart"/>
      <w:r w:rsidR="00D26FC0">
        <w:t xml:space="preserve">In </w:t>
      </w:r>
      <w:r w:rsidR="00122220">
        <w:t>order</w:t>
      </w:r>
      <w:r w:rsidR="00D26FC0">
        <w:t xml:space="preserve"> to</w:t>
      </w:r>
      <w:proofErr w:type="gramEnd"/>
      <w:r w:rsidR="00D26FC0">
        <w:t xml:space="preserve"> monitor</w:t>
      </w:r>
      <w:r w:rsidR="00122220">
        <w:t xml:space="preserve"> the condition </w:t>
      </w:r>
      <w:proofErr w:type="gramStart"/>
      <w:r w:rsidR="00122220">
        <w:t xml:space="preserve">of </w:t>
      </w:r>
      <w:r w:rsidR="00D26FC0">
        <w:t xml:space="preserve"> salmonid</w:t>
      </w:r>
      <w:proofErr w:type="gramEnd"/>
      <w:r w:rsidR="00122220">
        <w:t xml:space="preserve"> populations,</w:t>
      </w:r>
      <w:r w:rsidR="00D26FC0">
        <w:t xml:space="preserve"> c</w:t>
      </w:r>
      <w:r>
        <w:t xml:space="preserve">ollect data from Ripogenus Impoundment and the West Branch downstream of McKay Station. Obtain 30 </w:t>
      </w:r>
      <w:r w:rsidR="004A73A9">
        <w:t xml:space="preserve">or more </w:t>
      </w:r>
      <w:r>
        <w:t>adult salmon longer than 14 inches through creel surveys, trap netting, or angling.</w:t>
      </w:r>
    </w:p>
    <w:p w14:paraId="6413B69F" w14:textId="09932CE5" w:rsidR="00A6102D" w:rsidRDefault="00EB1828" w:rsidP="0022679F">
      <w:r>
        <w:rPr>
          <w:b/>
          <w:bCs/>
        </w:rPr>
        <w:t>Salmon radio-tagging:</w:t>
      </w:r>
      <w:r>
        <w:t xml:space="preserve"> </w:t>
      </w:r>
      <w:r w:rsidR="008D6F12">
        <w:t>Complete a MeDIFW study request.</w:t>
      </w:r>
      <w:r w:rsidR="00014574">
        <w:t xml:space="preserve"> </w:t>
      </w:r>
      <w:r w:rsidR="00BC0D4B">
        <w:t>Radio</w:t>
      </w:r>
      <w:r>
        <w:t>-</w:t>
      </w:r>
      <w:r w:rsidR="00BC0D4B">
        <w:t xml:space="preserve">tag 30 adult </w:t>
      </w:r>
      <w:r>
        <w:t xml:space="preserve">salmon in </w:t>
      </w:r>
      <w:r w:rsidR="00BC0D4B">
        <w:t xml:space="preserve">North Twin Impoundment </w:t>
      </w:r>
      <w:r>
        <w:t xml:space="preserve">from </w:t>
      </w:r>
      <w:r w:rsidR="00BC0D4B">
        <w:t>August</w:t>
      </w:r>
      <w:r>
        <w:t xml:space="preserve"> through </w:t>
      </w:r>
      <w:r w:rsidR="00BC0D4B">
        <w:t>November and confirm passage into Nahmak</w:t>
      </w:r>
      <w:r w:rsidR="001547CD">
        <w:t>a</w:t>
      </w:r>
      <w:r w:rsidR="00BC0D4B">
        <w:t xml:space="preserve">nta </w:t>
      </w:r>
      <w:r w:rsidR="00436B24">
        <w:t>or</w:t>
      </w:r>
      <w:r w:rsidR="00BC0D4B">
        <w:t xml:space="preserve"> </w:t>
      </w:r>
      <w:r>
        <w:t>Jo-Mary</w:t>
      </w:r>
      <w:r w:rsidR="00BC0D4B">
        <w:t xml:space="preserve"> </w:t>
      </w:r>
      <w:r w:rsidR="00D1118E">
        <w:t>stream</w:t>
      </w:r>
      <w:r w:rsidR="00672DBF">
        <w:t>s</w:t>
      </w:r>
      <w:r w:rsidR="00D1118E">
        <w:t>.</w:t>
      </w:r>
    </w:p>
    <w:p w14:paraId="2BDCAB55" w14:textId="14AD6794" w:rsidR="00A6102D" w:rsidRDefault="00AE5E63" w:rsidP="00D34454">
      <w:r>
        <w:rPr>
          <w:b/>
          <w:bCs/>
        </w:rPr>
        <w:t>Stream-temperature monitoring:</w:t>
      </w:r>
      <w:r>
        <w:t xml:space="preserve"> Install</w:t>
      </w:r>
      <w:r w:rsidR="00BC0D4B">
        <w:t xml:space="preserve"> and monitor</w:t>
      </w:r>
      <w:r w:rsidR="00C66EDB">
        <w:t xml:space="preserve"> (June -October)</w:t>
      </w:r>
      <w:r w:rsidR="00BC0D4B">
        <w:t xml:space="preserve"> temperature </w:t>
      </w:r>
      <w:r>
        <w:t xml:space="preserve">sensors </w:t>
      </w:r>
      <w:r w:rsidR="00BC0D4B">
        <w:t xml:space="preserve">below Ripogenus Dam </w:t>
      </w:r>
      <w:r>
        <w:t xml:space="preserve">in the </w:t>
      </w:r>
      <w:r w:rsidR="00BC0D4B">
        <w:t>Upper Gorge</w:t>
      </w:r>
      <w:r>
        <w:t xml:space="preserve"> and in the McKay</w:t>
      </w:r>
      <w:r w:rsidR="00BC0D4B">
        <w:t xml:space="preserve"> Station tailrace.</w:t>
      </w:r>
    </w:p>
    <w:p w14:paraId="7086126F" w14:textId="77777777" w:rsidR="00A6102D" w:rsidRDefault="009A3EEC" w:rsidP="009C1A2C">
      <w:r>
        <w:rPr>
          <w:b/>
          <w:bCs/>
        </w:rPr>
        <w:t>McKay Station outage monitoring:</w:t>
      </w:r>
      <w:r>
        <w:t xml:space="preserve"> If</w:t>
      </w:r>
      <w:r w:rsidR="00BC0D4B">
        <w:t xml:space="preserve"> a </w:t>
      </w:r>
      <w:r>
        <w:t>synchronized</w:t>
      </w:r>
      <w:r w:rsidR="00BC0D4B">
        <w:t xml:space="preserve"> bypass system is not installed at McKay Station, </w:t>
      </w:r>
      <w:r>
        <w:t>monitor the effects</w:t>
      </w:r>
      <w:r w:rsidR="00BC0D4B">
        <w:t xml:space="preserve"> of </w:t>
      </w:r>
      <w:r>
        <w:t>station</w:t>
      </w:r>
      <w:r w:rsidR="00BC0D4B">
        <w:t xml:space="preserve"> outages</w:t>
      </w:r>
      <w:r>
        <w:t>.</w:t>
      </w:r>
    </w:p>
    <w:p w14:paraId="5D4BE2D8" w14:textId="77777777" w:rsidR="00A6102D" w:rsidRDefault="002C23C6" w:rsidP="00E05C66">
      <w:r>
        <w:rPr>
          <w:b/>
          <w:bCs/>
        </w:rPr>
        <w:t>Loon-nesting platform monitoring:</w:t>
      </w:r>
      <w:r>
        <w:t xml:space="preserve"> Monitor platforms on Ripogenus Impoundment from May through July 15.</w:t>
      </w:r>
    </w:p>
    <w:p w14:paraId="0019EA02" w14:textId="5A1F4D08" w:rsidR="00A6102D" w:rsidRDefault="00FF7D43" w:rsidP="00EB0702">
      <w:r>
        <w:lastRenderedPageBreak/>
        <w:t xml:space="preserve">Annual funding of $125,000, </w:t>
      </w:r>
      <w:r w:rsidR="00352056">
        <w:t>adjusted</w:t>
      </w:r>
      <w:r>
        <w:t xml:space="preserve"> for inflation, should be secured through an appropriate </w:t>
      </w:r>
      <w:r w:rsidR="00352056">
        <w:t>mechanism</w:t>
      </w:r>
      <w:r>
        <w:t xml:space="preserve"> to cover salary, transportation, equipment, and overhead. Maine taxpayers </w:t>
      </w:r>
      <w:r w:rsidR="00415245">
        <w:t>receive little public benefit from current</w:t>
      </w:r>
      <w:r w:rsidR="003E5242">
        <w:t xml:space="preserve"> project(s) operation and</w:t>
      </w:r>
      <w:r w:rsidR="00415245">
        <w:t xml:space="preserve"> </w:t>
      </w:r>
      <w:r>
        <w:t xml:space="preserve">should not bear the cost of damage to aquatic communities and recreational use </w:t>
      </w:r>
      <w:r w:rsidR="00352056">
        <w:t>resulting from</w:t>
      </w:r>
      <w:r>
        <w:t xml:space="preserve"> the Licensee’s shift to market-driven energy production.</w:t>
      </w:r>
    </w:p>
    <w:p w14:paraId="49343F20" w14:textId="77777777" w:rsidR="00A6102D" w:rsidRDefault="00FF7D43" w:rsidP="009770E7">
      <w:r>
        <w:t xml:space="preserve">The Licensee has </w:t>
      </w:r>
      <w:r w:rsidR="00381A88">
        <w:t>prioritized profits</w:t>
      </w:r>
      <w:r>
        <w:t xml:space="preserve"> from market-driven energy production while failing to provide adequate environmental stewardship. It has </w:t>
      </w:r>
      <w:r w:rsidR="00381A88">
        <w:t>benefited from</w:t>
      </w:r>
      <w:r>
        <w:t xml:space="preserve"> License Articles that lack clear, binding language, including provisions governing surface-water releases to the Upper Gorge, Holbrook Bypass flows, Millinocket Stream stocking, and the “or inflow” provision of Article 401. Future License Articles must establish </w:t>
      </w:r>
      <w:r w:rsidR="00381A88">
        <w:t>explicit</w:t>
      </w:r>
      <w:r>
        <w:t xml:space="preserve"> lake-elevation and streamflow targets. A fully independent entity—presumably MeDIFW—must be adequately funded and formally </w:t>
      </w:r>
      <w:r w:rsidR="00381A88">
        <w:t>assigned responsibility for</w:t>
      </w:r>
      <w:r>
        <w:t xml:space="preserve"> post-licensing monitoring.</w:t>
      </w:r>
    </w:p>
    <w:p w14:paraId="311A0865" w14:textId="786C2098" w:rsidR="00A6102D" w:rsidRDefault="00FF7D43" w:rsidP="00282858">
      <w:r>
        <w:t xml:space="preserve">I urge FERC </w:t>
      </w:r>
      <w:r w:rsidR="00137089">
        <w:t>staff</w:t>
      </w:r>
      <w:r>
        <w:t xml:space="preserve"> to include </w:t>
      </w:r>
      <w:r w:rsidR="00137089">
        <w:t>clear,</w:t>
      </w:r>
      <w:r>
        <w:t xml:space="preserve"> enforceable </w:t>
      </w:r>
      <w:r w:rsidR="00137089">
        <w:t>conditions</w:t>
      </w:r>
      <w:r>
        <w:t xml:space="preserve"> in the </w:t>
      </w:r>
      <w:r w:rsidR="00137089">
        <w:t>forthcoming License Articles.</w:t>
      </w:r>
      <w:r>
        <w:t xml:space="preserve"> The future of the </w:t>
      </w:r>
      <w:r w:rsidR="00137089">
        <w:t xml:space="preserve">fisheries and aquatic communities in </w:t>
      </w:r>
      <w:r>
        <w:t xml:space="preserve">Ripogenus Impoundment, </w:t>
      </w:r>
      <w:r w:rsidR="00137089">
        <w:t xml:space="preserve">the </w:t>
      </w:r>
      <w:r>
        <w:t xml:space="preserve">West Branch </w:t>
      </w:r>
      <w:r w:rsidR="00137089">
        <w:t>below McKay</w:t>
      </w:r>
      <w:r>
        <w:t xml:space="preserve"> Station, and </w:t>
      </w:r>
      <w:r w:rsidR="00137089">
        <w:t xml:space="preserve">the </w:t>
      </w:r>
      <w:r>
        <w:t xml:space="preserve">West Branch below Stone Dam </w:t>
      </w:r>
      <w:r w:rsidR="00137089">
        <w:t>depends on the Licensee’s compliance</w:t>
      </w:r>
      <w:r>
        <w:t xml:space="preserve"> with </w:t>
      </w:r>
      <w:r w:rsidR="00803FF9">
        <w:t>future</w:t>
      </w:r>
      <w:r>
        <w:t xml:space="preserve"> Articles.</w:t>
      </w:r>
    </w:p>
    <w:p w14:paraId="6E8A0D14" w14:textId="3F4DB301" w:rsidR="00583023" w:rsidRDefault="00583023" w:rsidP="00282858">
      <w:r>
        <w:t>Thank you for the opportunity to comment and offer</w:t>
      </w:r>
      <w:r w:rsidR="005624AD">
        <w:t xml:space="preserve"> future License Article</w:t>
      </w:r>
      <w:r>
        <w:t xml:space="preserve"> suggestion</w:t>
      </w:r>
      <w:r w:rsidR="001E5964">
        <w:t>s.</w:t>
      </w:r>
    </w:p>
    <w:p w14:paraId="4999FA32" w14:textId="77777777" w:rsidR="00404BE1" w:rsidRPr="00404BE1" w:rsidRDefault="00404BE1" w:rsidP="00404BE1">
      <w:pPr>
        <w:spacing w:line="278" w:lineRule="auto"/>
        <w:rPr>
          <w:color w:val="000000" w:themeColor="text1"/>
        </w:rPr>
      </w:pPr>
      <w:r w:rsidRPr="00404BE1">
        <w:rPr>
          <w:color w:val="000000" w:themeColor="text1"/>
        </w:rPr>
        <w:t>Ed Spear</w:t>
      </w:r>
    </w:p>
    <w:p w14:paraId="33202595" w14:textId="77777777" w:rsidR="00404BE1" w:rsidRPr="00404BE1" w:rsidRDefault="00404BE1" w:rsidP="00404BE1">
      <w:pPr>
        <w:spacing w:line="278" w:lineRule="auto"/>
        <w:rPr>
          <w:color w:val="000000" w:themeColor="text1"/>
        </w:rPr>
      </w:pPr>
      <w:r w:rsidRPr="00404BE1">
        <w:rPr>
          <w:color w:val="000000" w:themeColor="text1"/>
          <w:kern w:val="0"/>
          <w14:ligatures w14:val="none"/>
        </w:rPr>
        <w:t>Former Great Northern Fisheries Biologist (1977-2003) and coauthor of the 1996 Fisheries Exhibit found in the Ripogenus and Penobscot Mills Projects License Applications</w:t>
      </w:r>
    </w:p>
    <w:p w14:paraId="674CEFAA" w14:textId="77777777" w:rsidR="00A6102D" w:rsidRDefault="00FF7D43">
      <w:pPr>
        <w:spacing w:after="0"/>
      </w:pPr>
      <w:r w:rsidRPr="00404BE1">
        <w:rPr>
          <w:color w:val="000000" w:themeColor="text1"/>
        </w:rPr>
        <w:t>307 Mt</w:t>
      </w:r>
      <w:r w:rsidR="00703D6C">
        <w:rPr>
          <w:color w:val="000000"/>
        </w:rPr>
        <w:t>.</w:t>
      </w:r>
      <w:r w:rsidRPr="00404BE1">
        <w:rPr>
          <w:color w:val="000000" w:themeColor="text1"/>
        </w:rPr>
        <w:t xml:space="preserve"> Hope Ave</w:t>
      </w:r>
      <w:r w:rsidR="00703D6C">
        <w:rPr>
          <w:color w:val="000000"/>
        </w:rPr>
        <w:t>.</w:t>
      </w:r>
    </w:p>
    <w:p w14:paraId="41195657" w14:textId="77777777" w:rsidR="00A6102D" w:rsidRDefault="00FF7D43">
      <w:pPr>
        <w:spacing w:after="0"/>
      </w:pPr>
      <w:r w:rsidRPr="00404BE1">
        <w:rPr>
          <w:color w:val="000000" w:themeColor="text1"/>
        </w:rPr>
        <w:t xml:space="preserve">Bangor, </w:t>
      </w:r>
      <w:r w:rsidR="00395BFF">
        <w:rPr>
          <w:color w:val="000000"/>
        </w:rPr>
        <w:t>ME</w:t>
      </w:r>
      <w:r w:rsidRPr="00404BE1">
        <w:rPr>
          <w:color w:val="000000" w:themeColor="text1"/>
        </w:rPr>
        <w:t xml:space="preserve"> 04401</w:t>
      </w:r>
    </w:p>
    <w:p w14:paraId="5EDB59CE" w14:textId="77777777" w:rsidR="00404BE1" w:rsidRPr="00404BE1" w:rsidRDefault="00404BE1" w:rsidP="00404BE1">
      <w:pPr>
        <w:spacing w:after="0" w:line="278" w:lineRule="auto"/>
        <w:rPr>
          <w:color w:val="000000" w:themeColor="text1"/>
        </w:rPr>
      </w:pPr>
      <w:r w:rsidRPr="00404BE1">
        <w:rPr>
          <w:color w:val="000000" w:themeColor="text1"/>
        </w:rPr>
        <w:t>Phone: 207-217-4288</w:t>
      </w:r>
    </w:p>
    <w:p w14:paraId="14A29867" w14:textId="77777777" w:rsidR="00A6102D" w:rsidRDefault="00FF7D43">
      <w:pPr>
        <w:spacing w:after="0"/>
      </w:pPr>
      <w:r w:rsidRPr="00404BE1">
        <w:rPr>
          <w:color w:val="000000" w:themeColor="text1"/>
        </w:rPr>
        <w:t>Email</w:t>
      </w:r>
      <w:r w:rsidR="00A50F66">
        <w:rPr>
          <w:color w:val="000000"/>
        </w:rPr>
        <w:t>:</w:t>
      </w:r>
      <w:r w:rsidRPr="00404BE1">
        <w:rPr>
          <w:color w:val="000000" w:themeColor="text1"/>
        </w:rPr>
        <w:t xml:space="preserve"> edspear1@yahoo.com</w:t>
      </w:r>
    </w:p>
    <w:p w14:paraId="3254AADF" w14:textId="77777777" w:rsidR="00404BE1" w:rsidRDefault="00404BE1" w:rsidP="00E81EAB"/>
    <w:p w14:paraId="024BDBEE" w14:textId="77777777" w:rsidR="00A6102D" w:rsidRDefault="00A6102D" w:rsidP="00A6102D"/>
    <w:p w14:paraId="52D48AB1" w14:textId="77777777" w:rsidR="00A6102D" w:rsidRDefault="00A6102D"/>
    <w:sectPr w:rsidR="00A6102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102D"/>
    <w:rsid w:val="00010505"/>
    <w:rsid w:val="00014574"/>
    <w:rsid w:val="00047F61"/>
    <w:rsid w:val="000510A7"/>
    <w:rsid w:val="0006665D"/>
    <w:rsid w:val="00077AE3"/>
    <w:rsid w:val="00082380"/>
    <w:rsid w:val="0009354E"/>
    <w:rsid w:val="000955E2"/>
    <w:rsid w:val="00097DE2"/>
    <w:rsid w:val="000B51DA"/>
    <w:rsid w:val="000C4A5C"/>
    <w:rsid w:val="000D1168"/>
    <w:rsid w:val="000D23A8"/>
    <w:rsid w:val="000D5519"/>
    <w:rsid w:val="000E42B2"/>
    <w:rsid w:val="000F19C6"/>
    <w:rsid w:val="000F6212"/>
    <w:rsid w:val="0010189B"/>
    <w:rsid w:val="00102B6B"/>
    <w:rsid w:val="00110319"/>
    <w:rsid w:val="0011255F"/>
    <w:rsid w:val="00113FA2"/>
    <w:rsid w:val="00122220"/>
    <w:rsid w:val="0012617E"/>
    <w:rsid w:val="00135050"/>
    <w:rsid w:val="00137089"/>
    <w:rsid w:val="00142C05"/>
    <w:rsid w:val="001547CD"/>
    <w:rsid w:val="001557B3"/>
    <w:rsid w:val="00157BE1"/>
    <w:rsid w:val="0018507F"/>
    <w:rsid w:val="00194269"/>
    <w:rsid w:val="001A4702"/>
    <w:rsid w:val="001A6783"/>
    <w:rsid w:val="001B22C4"/>
    <w:rsid w:val="001E5964"/>
    <w:rsid w:val="001F2CB1"/>
    <w:rsid w:val="00216D65"/>
    <w:rsid w:val="002200B8"/>
    <w:rsid w:val="00220785"/>
    <w:rsid w:val="00233483"/>
    <w:rsid w:val="00234D5E"/>
    <w:rsid w:val="002566CE"/>
    <w:rsid w:val="0026229A"/>
    <w:rsid w:val="00262B5D"/>
    <w:rsid w:val="00280BD4"/>
    <w:rsid w:val="0028104E"/>
    <w:rsid w:val="00282062"/>
    <w:rsid w:val="00286A70"/>
    <w:rsid w:val="00294F14"/>
    <w:rsid w:val="002C23C6"/>
    <w:rsid w:val="002C3929"/>
    <w:rsid w:val="002E071A"/>
    <w:rsid w:val="002F1AE5"/>
    <w:rsid w:val="00313D58"/>
    <w:rsid w:val="00316AB8"/>
    <w:rsid w:val="003228DA"/>
    <w:rsid w:val="00330996"/>
    <w:rsid w:val="0034641B"/>
    <w:rsid w:val="00352056"/>
    <w:rsid w:val="003537F1"/>
    <w:rsid w:val="003801E2"/>
    <w:rsid w:val="00381A88"/>
    <w:rsid w:val="00395BFF"/>
    <w:rsid w:val="003B6B8F"/>
    <w:rsid w:val="003C0769"/>
    <w:rsid w:val="003C26FA"/>
    <w:rsid w:val="003E5242"/>
    <w:rsid w:val="003E7D8D"/>
    <w:rsid w:val="003F0B4B"/>
    <w:rsid w:val="003F4F6B"/>
    <w:rsid w:val="0040458D"/>
    <w:rsid w:val="00404BE1"/>
    <w:rsid w:val="00412EF5"/>
    <w:rsid w:val="00415245"/>
    <w:rsid w:val="004277A0"/>
    <w:rsid w:val="00433902"/>
    <w:rsid w:val="00436B24"/>
    <w:rsid w:val="00441055"/>
    <w:rsid w:val="00441929"/>
    <w:rsid w:val="004468B7"/>
    <w:rsid w:val="0046410A"/>
    <w:rsid w:val="00467ECA"/>
    <w:rsid w:val="00470ADF"/>
    <w:rsid w:val="00477629"/>
    <w:rsid w:val="004975AD"/>
    <w:rsid w:val="00497950"/>
    <w:rsid w:val="004A00BE"/>
    <w:rsid w:val="004A5506"/>
    <w:rsid w:val="004A692E"/>
    <w:rsid w:val="004A73A9"/>
    <w:rsid w:val="004D4A44"/>
    <w:rsid w:val="004D74E8"/>
    <w:rsid w:val="00505947"/>
    <w:rsid w:val="00510726"/>
    <w:rsid w:val="00526454"/>
    <w:rsid w:val="005578CC"/>
    <w:rsid w:val="005624AD"/>
    <w:rsid w:val="00583023"/>
    <w:rsid w:val="005A2707"/>
    <w:rsid w:val="005B1E57"/>
    <w:rsid w:val="005C0D12"/>
    <w:rsid w:val="005D5907"/>
    <w:rsid w:val="005E1490"/>
    <w:rsid w:val="006058D1"/>
    <w:rsid w:val="006060C8"/>
    <w:rsid w:val="006155E9"/>
    <w:rsid w:val="006234CA"/>
    <w:rsid w:val="00663600"/>
    <w:rsid w:val="00665940"/>
    <w:rsid w:val="00667D25"/>
    <w:rsid w:val="00672DBF"/>
    <w:rsid w:val="006750E2"/>
    <w:rsid w:val="00680FD0"/>
    <w:rsid w:val="006813A2"/>
    <w:rsid w:val="00681B27"/>
    <w:rsid w:val="00687306"/>
    <w:rsid w:val="00695A2E"/>
    <w:rsid w:val="0069736B"/>
    <w:rsid w:val="006A1768"/>
    <w:rsid w:val="006A40CE"/>
    <w:rsid w:val="006B6FA5"/>
    <w:rsid w:val="006C197D"/>
    <w:rsid w:val="006E3D13"/>
    <w:rsid w:val="006E5B1F"/>
    <w:rsid w:val="00703D6C"/>
    <w:rsid w:val="007062F4"/>
    <w:rsid w:val="007319B3"/>
    <w:rsid w:val="007327FE"/>
    <w:rsid w:val="00734362"/>
    <w:rsid w:val="0073676C"/>
    <w:rsid w:val="0074175E"/>
    <w:rsid w:val="00742128"/>
    <w:rsid w:val="00745ED0"/>
    <w:rsid w:val="00757ADB"/>
    <w:rsid w:val="007748D6"/>
    <w:rsid w:val="00775C56"/>
    <w:rsid w:val="00787A79"/>
    <w:rsid w:val="00794532"/>
    <w:rsid w:val="007A57AD"/>
    <w:rsid w:val="008037C7"/>
    <w:rsid w:val="00803FF9"/>
    <w:rsid w:val="00807A98"/>
    <w:rsid w:val="00820ABF"/>
    <w:rsid w:val="0084243C"/>
    <w:rsid w:val="00854EA0"/>
    <w:rsid w:val="00872E85"/>
    <w:rsid w:val="00877A3D"/>
    <w:rsid w:val="00895768"/>
    <w:rsid w:val="008B7C69"/>
    <w:rsid w:val="008D072C"/>
    <w:rsid w:val="008D6F12"/>
    <w:rsid w:val="008F039F"/>
    <w:rsid w:val="00900137"/>
    <w:rsid w:val="00903F17"/>
    <w:rsid w:val="0091367F"/>
    <w:rsid w:val="00916111"/>
    <w:rsid w:val="00920A0E"/>
    <w:rsid w:val="00920B4E"/>
    <w:rsid w:val="00993DCE"/>
    <w:rsid w:val="009956EA"/>
    <w:rsid w:val="009A3EEC"/>
    <w:rsid w:val="009A3FAE"/>
    <w:rsid w:val="009B0263"/>
    <w:rsid w:val="009E06AD"/>
    <w:rsid w:val="009F123C"/>
    <w:rsid w:val="00A026C3"/>
    <w:rsid w:val="00A05C1F"/>
    <w:rsid w:val="00A248EB"/>
    <w:rsid w:val="00A342FF"/>
    <w:rsid w:val="00A50F66"/>
    <w:rsid w:val="00A6102D"/>
    <w:rsid w:val="00A61D7C"/>
    <w:rsid w:val="00A66183"/>
    <w:rsid w:val="00A739F2"/>
    <w:rsid w:val="00A8538F"/>
    <w:rsid w:val="00AB68A3"/>
    <w:rsid w:val="00AD56AE"/>
    <w:rsid w:val="00AE2751"/>
    <w:rsid w:val="00AE5E63"/>
    <w:rsid w:val="00B011AD"/>
    <w:rsid w:val="00B11C36"/>
    <w:rsid w:val="00B17DD1"/>
    <w:rsid w:val="00B2025F"/>
    <w:rsid w:val="00B25565"/>
    <w:rsid w:val="00B36A5E"/>
    <w:rsid w:val="00B5575F"/>
    <w:rsid w:val="00B77020"/>
    <w:rsid w:val="00B8016A"/>
    <w:rsid w:val="00B9080F"/>
    <w:rsid w:val="00BA0B00"/>
    <w:rsid w:val="00BB2B36"/>
    <w:rsid w:val="00BC0D4B"/>
    <w:rsid w:val="00BC5734"/>
    <w:rsid w:val="00BD0DDD"/>
    <w:rsid w:val="00BD651D"/>
    <w:rsid w:val="00BE3251"/>
    <w:rsid w:val="00BF4D35"/>
    <w:rsid w:val="00C26B88"/>
    <w:rsid w:val="00C36DCB"/>
    <w:rsid w:val="00C41224"/>
    <w:rsid w:val="00C43731"/>
    <w:rsid w:val="00C531A7"/>
    <w:rsid w:val="00C56BFB"/>
    <w:rsid w:val="00C66EDB"/>
    <w:rsid w:val="00C70AD1"/>
    <w:rsid w:val="00C97D2E"/>
    <w:rsid w:val="00CB5746"/>
    <w:rsid w:val="00CB5C80"/>
    <w:rsid w:val="00CF5646"/>
    <w:rsid w:val="00D1118E"/>
    <w:rsid w:val="00D22642"/>
    <w:rsid w:val="00D2433F"/>
    <w:rsid w:val="00D26E17"/>
    <w:rsid w:val="00D26FC0"/>
    <w:rsid w:val="00D33A70"/>
    <w:rsid w:val="00D96DAA"/>
    <w:rsid w:val="00DA11AF"/>
    <w:rsid w:val="00DA24D1"/>
    <w:rsid w:val="00DB793F"/>
    <w:rsid w:val="00DC0997"/>
    <w:rsid w:val="00DD7A4D"/>
    <w:rsid w:val="00DD7B8C"/>
    <w:rsid w:val="00DE2CF2"/>
    <w:rsid w:val="00DE318E"/>
    <w:rsid w:val="00DF19A3"/>
    <w:rsid w:val="00DF4564"/>
    <w:rsid w:val="00DF6102"/>
    <w:rsid w:val="00E4665A"/>
    <w:rsid w:val="00E6045F"/>
    <w:rsid w:val="00E75850"/>
    <w:rsid w:val="00E801CA"/>
    <w:rsid w:val="00E87834"/>
    <w:rsid w:val="00E87CB8"/>
    <w:rsid w:val="00EB1828"/>
    <w:rsid w:val="00EB1B3E"/>
    <w:rsid w:val="00EC1041"/>
    <w:rsid w:val="00EC2647"/>
    <w:rsid w:val="00EC6C37"/>
    <w:rsid w:val="00EE17D8"/>
    <w:rsid w:val="00EE768B"/>
    <w:rsid w:val="00EF67BD"/>
    <w:rsid w:val="00EF76DF"/>
    <w:rsid w:val="00F01C5E"/>
    <w:rsid w:val="00F063B6"/>
    <w:rsid w:val="00F31F64"/>
    <w:rsid w:val="00F4096D"/>
    <w:rsid w:val="00F43CE0"/>
    <w:rsid w:val="00F50A4C"/>
    <w:rsid w:val="00F67477"/>
    <w:rsid w:val="00F87AEB"/>
    <w:rsid w:val="00FC17CD"/>
    <w:rsid w:val="00FC6B26"/>
    <w:rsid w:val="00FE3F82"/>
    <w:rsid w:val="00FF2284"/>
    <w:rsid w:val="00FF2555"/>
    <w:rsid w:val="00FF322D"/>
    <w:rsid w:val="00FF53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7F1173"/>
  <w15:chartTrackingRefBased/>
  <w15:docId w15:val="{9A217416-1FAF-4D92-899B-A07562A38D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102D"/>
    <w:pPr>
      <w:spacing w:line="276" w:lineRule="auto"/>
    </w:pPr>
  </w:style>
  <w:style w:type="paragraph" w:styleId="Heading1">
    <w:name w:val="heading 1"/>
    <w:basedOn w:val="Normal"/>
    <w:next w:val="Normal"/>
    <w:link w:val="Heading1Char"/>
    <w:uiPriority w:val="9"/>
    <w:qFormat/>
    <w:rsid w:val="00A6102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6102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6102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6102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6102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6102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6102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6102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6102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102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6102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6102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6102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6102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6102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6102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6102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6102D"/>
    <w:rPr>
      <w:rFonts w:eastAsiaTheme="majorEastAsia" w:cstheme="majorBidi"/>
      <w:color w:val="272727" w:themeColor="text1" w:themeTint="D8"/>
    </w:rPr>
  </w:style>
  <w:style w:type="paragraph" w:styleId="Title">
    <w:name w:val="Title"/>
    <w:basedOn w:val="Normal"/>
    <w:next w:val="Normal"/>
    <w:link w:val="TitleChar"/>
    <w:uiPriority w:val="10"/>
    <w:qFormat/>
    <w:rsid w:val="00A6102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6102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6102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6102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6102D"/>
    <w:pPr>
      <w:spacing w:before="160"/>
      <w:jc w:val="center"/>
    </w:pPr>
    <w:rPr>
      <w:i/>
      <w:iCs/>
      <w:color w:val="404040" w:themeColor="text1" w:themeTint="BF"/>
    </w:rPr>
  </w:style>
  <w:style w:type="character" w:customStyle="1" w:styleId="QuoteChar">
    <w:name w:val="Quote Char"/>
    <w:basedOn w:val="DefaultParagraphFont"/>
    <w:link w:val="Quote"/>
    <w:uiPriority w:val="29"/>
    <w:rsid w:val="00A6102D"/>
    <w:rPr>
      <w:i/>
      <w:iCs/>
      <w:color w:val="404040" w:themeColor="text1" w:themeTint="BF"/>
    </w:rPr>
  </w:style>
  <w:style w:type="paragraph" w:styleId="ListParagraph">
    <w:name w:val="List Paragraph"/>
    <w:basedOn w:val="Normal"/>
    <w:uiPriority w:val="34"/>
    <w:qFormat/>
    <w:rsid w:val="00A6102D"/>
    <w:pPr>
      <w:ind w:left="720"/>
      <w:contextualSpacing/>
    </w:pPr>
  </w:style>
  <w:style w:type="character" w:styleId="IntenseEmphasis">
    <w:name w:val="Intense Emphasis"/>
    <w:basedOn w:val="DefaultParagraphFont"/>
    <w:uiPriority w:val="21"/>
    <w:qFormat/>
    <w:rsid w:val="00A6102D"/>
    <w:rPr>
      <w:i/>
      <w:iCs/>
      <w:color w:val="0F4761" w:themeColor="accent1" w:themeShade="BF"/>
    </w:rPr>
  </w:style>
  <w:style w:type="paragraph" w:styleId="IntenseQuote">
    <w:name w:val="Intense Quote"/>
    <w:basedOn w:val="Normal"/>
    <w:next w:val="Normal"/>
    <w:link w:val="IntenseQuoteChar"/>
    <w:uiPriority w:val="30"/>
    <w:qFormat/>
    <w:rsid w:val="00A6102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6102D"/>
    <w:rPr>
      <w:i/>
      <w:iCs/>
      <w:color w:val="0F4761" w:themeColor="accent1" w:themeShade="BF"/>
    </w:rPr>
  </w:style>
  <w:style w:type="character" w:styleId="IntenseReference">
    <w:name w:val="Intense Reference"/>
    <w:basedOn w:val="DefaultParagraphFont"/>
    <w:uiPriority w:val="32"/>
    <w:qFormat/>
    <w:rsid w:val="00A6102D"/>
    <w:rPr>
      <w:b/>
      <w:bCs/>
      <w:smallCaps/>
      <w:color w:val="0F4761" w:themeColor="accent1" w:themeShade="BF"/>
      <w:spacing w:val="5"/>
    </w:rPr>
  </w:style>
  <w:style w:type="character" w:styleId="BookTitle">
    <w:name w:val="Book Title"/>
    <w:basedOn w:val="DefaultParagraphFont"/>
    <w:uiPriority w:val="33"/>
    <w:qFormat/>
    <w:rsid w:val="00234D5E"/>
    <w:rPr>
      <w:b/>
      <w:bCs/>
      <w:i/>
      <w:iCs/>
      <w:spacing w:val="5"/>
    </w:rPr>
  </w:style>
  <w:style w:type="paragraph" w:styleId="Caption">
    <w:name w:val="caption"/>
    <w:basedOn w:val="Normal"/>
    <w:next w:val="Normal"/>
    <w:uiPriority w:val="35"/>
    <w:semiHidden/>
    <w:unhideWhenUsed/>
    <w:qFormat/>
    <w:rsid w:val="00234D5E"/>
    <w:pPr>
      <w:spacing w:after="200" w:line="240" w:lineRule="auto"/>
    </w:pPr>
    <w:rPr>
      <w:i/>
      <w:iCs/>
      <w:color w:val="0E2841" w:themeColor="text2"/>
      <w:sz w:val="18"/>
      <w:szCs w:val="18"/>
    </w:rPr>
  </w:style>
  <w:style w:type="character" w:styleId="Emphasis">
    <w:name w:val="Emphasis"/>
    <w:basedOn w:val="DefaultParagraphFont"/>
    <w:uiPriority w:val="20"/>
    <w:qFormat/>
    <w:rsid w:val="00234D5E"/>
    <w:rPr>
      <w:i/>
      <w:iCs/>
    </w:rPr>
  </w:style>
  <w:style w:type="paragraph" w:styleId="NoSpacing">
    <w:name w:val="No Spacing"/>
    <w:uiPriority w:val="1"/>
    <w:qFormat/>
    <w:rsid w:val="00234D5E"/>
    <w:pPr>
      <w:spacing w:after="0" w:line="240" w:lineRule="auto"/>
    </w:pPr>
  </w:style>
  <w:style w:type="character" w:styleId="Strong">
    <w:name w:val="Strong"/>
    <w:basedOn w:val="DefaultParagraphFont"/>
    <w:uiPriority w:val="22"/>
    <w:qFormat/>
    <w:rsid w:val="00234D5E"/>
    <w:rPr>
      <w:b/>
      <w:bCs/>
    </w:rPr>
  </w:style>
  <w:style w:type="character" w:styleId="SubtleEmphasis">
    <w:name w:val="Subtle Emphasis"/>
    <w:basedOn w:val="DefaultParagraphFont"/>
    <w:uiPriority w:val="19"/>
    <w:qFormat/>
    <w:rsid w:val="00234D5E"/>
    <w:rPr>
      <w:i/>
      <w:iCs/>
      <w:color w:val="404040" w:themeColor="text1" w:themeTint="BF"/>
    </w:rPr>
  </w:style>
  <w:style w:type="character" w:styleId="SubtleReference">
    <w:name w:val="Subtle Reference"/>
    <w:basedOn w:val="DefaultParagraphFont"/>
    <w:uiPriority w:val="31"/>
    <w:qFormat/>
    <w:rsid w:val="00234D5E"/>
    <w:rPr>
      <w:smallCaps/>
      <w:color w:val="5A5A5A" w:themeColor="text1" w:themeTint="A5"/>
    </w:rPr>
  </w:style>
  <w:style w:type="paragraph" w:styleId="TOCHeading">
    <w:name w:val="TOC Heading"/>
    <w:basedOn w:val="Heading1"/>
    <w:next w:val="Normal"/>
    <w:uiPriority w:val="39"/>
    <w:semiHidden/>
    <w:unhideWhenUsed/>
    <w:qFormat/>
    <w:rsid w:val="00234D5E"/>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835376-EB63-4CE8-8E47-AEAB5017D5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1334</Words>
  <Characters>7604</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 spear</dc:creator>
  <cp:keywords/>
  <dc:description/>
  <cp:lastModifiedBy>Paye, Laura</cp:lastModifiedBy>
  <cp:revision>2</cp:revision>
  <dcterms:created xsi:type="dcterms:W3CDTF">2026-09-22T14:53:00Z</dcterms:created>
  <dcterms:modified xsi:type="dcterms:W3CDTF">2026-09-22T14:53:00Z</dcterms:modified>
</cp:coreProperties>
</file>