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0A74CD" w:rsidRPr="000A74CD" w:rsidRDefault="000A74CD" w:rsidP="0025444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C569EA" w:rsidRPr="000A74CD" w:rsidRDefault="00C569EA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Maine Administrative Procedure Act</w:t>
      </w:r>
    </w:p>
    <w:p w:rsidR="00C569EA" w:rsidRDefault="0025444F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503DCC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503DCC">
        <w:rPr>
          <w:rFonts w:ascii="Bookman Old Style" w:hAnsi="Bookman Old Style"/>
          <w:sz w:val="22"/>
          <w:szCs w:val="22"/>
        </w:rPr>
        <w:t>7</w:t>
      </w:r>
      <w:r w:rsidR="00C569EA" w:rsidRPr="000A74CD">
        <w:rPr>
          <w:rFonts w:ascii="Bookman Old Style" w:hAnsi="Bookman Old Style"/>
          <w:sz w:val="22"/>
          <w:szCs w:val="22"/>
        </w:rPr>
        <w:t xml:space="preserve"> Regulatory Agenda</w:t>
      </w:r>
    </w:p>
    <w:p w:rsidR="00710231" w:rsidRPr="000A74CD" w:rsidRDefault="00710231" w:rsidP="0025444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120496" w:rsidRDefault="00120496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0A74CD" w:rsidRPr="000A74CD" w:rsidRDefault="000A74CD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8464DC" w:rsidRPr="000A74CD" w:rsidRDefault="008464DC" w:rsidP="000A74C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AGENCY NAME: Department of Profess</w:t>
      </w:r>
      <w:r w:rsidR="00E617D3" w:rsidRPr="000A74CD">
        <w:rPr>
          <w:rFonts w:ascii="Bookman Old Style" w:hAnsi="Bookman Old Style"/>
          <w:sz w:val="22"/>
          <w:szCs w:val="22"/>
        </w:rPr>
        <w:t>ional and Financial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="00120496" w:rsidRPr="000A74C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461BCF" w:rsidRPr="00C95EA9" w:rsidRDefault="00461BCF" w:rsidP="00461BCF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710231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710231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710231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710231">
        <w:rPr>
          <w:rFonts w:ascii="Bookman Old Style" w:hAnsi="Bookman Old Style"/>
          <w:sz w:val="22"/>
          <w:szCs w:val="22"/>
        </w:rPr>
        <w:t xml:space="preserve">. E-mail: </w:t>
      </w:r>
      <w:hyperlink r:id="rId7" w:history="1">
        <w:r w:rsidR="00710231" w:rsidRPr="00EB3E44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710231">
        <w:rPr>
          <w:rFonts w:ascii="Bookman Old Style" w:hAnsi="Bookman Old Style"/>
          <w:sz w:val="22"/>
          <w:szCs w:val="22"/>
        </w:rPr>
        <w:t xml:space="preserve"> 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A74CD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A74CD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461BCF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EXPECTED </w:t>
      </w:r>
      <w:r w:rsidR="00536FBB">
        <w:rPr>
          <w:rFonts w:ascii="Bookman Old Style" w:hAnsi="Bookman Old Style"/>
          <w:b/>
          <w:sz w:val="22"/>
          <w:szCs w:val="22"/>
        </w:rPr>
        <w:t>201</w:t>
      </w:r>
      <w:r w:rsidR="00503DCC">
        <w:rPr>
          <w:rFonts w:ascii="Bookman Old Style" w:hAnsi="Bookman Old Style"/>
          <w:b/>
          <w:sz w:val="22"/>
          <w:szCs w:val="22"/>
        </w:rPr>
        <w:t>6</w:t>
      </w:r>
      <w:r w:rsidR="00536FBB">
        <w:rPr>
          <w:rFonts w:ascii="Bookman Old Style" w:hAnsi="Bookman Old Style"/>
          <w:b/>
          <w:sz w:val="22"/>
          <w:szCs w:val="22"/>
        </w:rPr>
        <w:t>-201</w:t>
      </w:r>
      <w:r w:rsidR="00503DCC">
        <w:rPr>
          <w:rFonts w:ascii="Bookman Old Style" w:hAnsi="Bookman Old Style"/>
          <w:b/>
          <w:sz w:val="22"/>
          <w:szCs w:val="22"/>
        </w:rPr>
        <w:t>7</w:t>
      </w:r>
      <w:r w:rsidRPr="000A74CD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0D394D">
        <w:rPr>
          <w:rFonts w:ascii="Bookman Old Style" w:hAnsi="Bookman Old Style"/>
          <w:b/>
          <w:sz w:val="22"/>
          <w:szCs w:val="22"/>
        </w:rPr>
        <w:t xml:space="preserve"> 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100</w:t>
      </w:r>
      <w:r w:rsidRPr="000A74CD">
        <w:rPr>
          <w:rFonts w:ascii="Bookman Old Style" w:hAnsi="Bookman Old Style"/>
          <w:sz w:val="22"/>
          <w:szCs w:val="22"/>
        </w:rPr>
        <w:t xml:space="preserve">: </w:t>
      </w:r>
      <w:r w:rsidR="00980747">
        <w:rPr>
          <w:rFonts w:ascii="Bookman Old Style" w:hAnsi="Bookman Old Style"/>
          <w:sz w:val="22"/>
          <w:szCs w:val="22"/>
        </w:rPr>
        <w:t>Advisory Rulings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710231">
        <w:rPr>
          <w:rFonts w:ascii="Bookman Old Style" w:hAnsi="Bookman Old Style"/>
          <w:sz w:val="22"/>
          <w:szCs w:val="22"/>
        </w:rPr>
        <w:t>§</w:t>
      </w:r>
      <w:r w:rsidR="00980747">
        <w:rPr>
          <w:rFonts w:ascii="Bookman Old Style" w:hAnsi="Bookman Old Style"/>
          <w:sz w:val="22"/>
          <w:szCs w:val="22"/>
        </w:rPr>
        <w:t xml:space="preserve">1153; </w:t>
      </w:r>
      <w:r w:rsidRPr="000A74CD">
        <w:rPr>
          <w:rFonts w:ascii="Bookman Old Style" w:hAnsi="Bookman Old Style"/>
          <w:sz w:val="22"/>
          <w:szCs w:val="22"/>
        </w:rPr>
        <w:t xml:space="preserve">5 M.R.S. </w:t>
      </w:r>
      <w:r w:rsidR="00710231">
        <w:rPr>
          <w:rFonts w:ascii="Bookman Old Style" w:hAnsi="Bookman Old Style"/>
          <w:sz w:val="22"/>
          <w:szCs w:val="22"/>
        </w:rPr>
        <w:t>§</w:t>
      </w:r>
      <w:r w:rsidRPr="000A74CD">
        <w:rPr>
          <w:rFonts w:ascii="Bookman Old Style" w:hAnsi="Bookman Old Style"/>
          <w:sz w:val="22"/>
          <w:szCs w:val="22"/>
        </w:rPr>
        <w:t>9001(4)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</w:t>
      </w:r>
      <w:r w:rsidR="00C45AFF" w:rsidRPr="000A74CD">
        <w:rPr>
          <w:rFonts w:ascii="Bookman Old Style" w:hAnsi="Bookman Old Style"/>
          <w:sz w:val="22"/>
          <w:szCs w:val="22"/>
        </w:rPr>
        <w:t>by amending the guidelines relating to</w:t>
      </w:r>
      <w:r w:rsidRPr="000A74CD">
        <w:rPr>
          <w:rFonts w:ascii="Bookman Old Style" w:hAnsi="Bookman Old Style"/>
          <w:sz w:val="22"/>
          <w:szCs w:val="22"/>
        </w:rPr>
        <w:t xml:space="preserve"> advisory rulings.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110</w:t>
      </w:r>
      <w:r w:rsidRPr="000A74CD">
        <w:rPr>
          <w:rFonts w:ascii="Bookman Old Style" w:hAnsi="Bookman Old Style"/>
          <w:sz w:val="22"/>
          <w:szCs w:val="22"/>
        </w:rPr>
        <w:t>: Conflict of Interest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710231">
        <w:rPr>
          <w:rFonts w:ascii="Bookman Old Style" w:hAnsi="Bookman Old Style"/>
          <w:sz w:val="22"/>
          <w:szCs w:val="22"/>
        </w:rPr>
        <w:t>§</w:t>
      </w:r>
      <w:r w:rsidRPr="000A74CD">
        <w:rPr>
          <w:rFonts w:ascii="Bookman Old Style" w:hAnsi="Bookman Old Style"/>
          <w:sz w:val="22"/>
          <w:szCs w:val="22"/>
        </w:rPr>
        <w:t xml:space="preserve">1153 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C45AFF" w:rsidRPr="000A74CD">
        <w:rPr>
          <w:rFonts w:ascii="Bookman Old Style" w:hAnsi="Bookman Old Style"/>
          <w:sz w:val="22"/>
          <w:szCs w:val="22"/>
        </w:rPr>
        <w:t xml:space="preserve">amending or repealing the conflict of interest </w:t>
      </w:r>
      <w:r w:rsidR="002C15F7">
        <w:rPr>
          <w:rFonts w:ascii="Bookman Old Style" w:hAnsi="Bookman Old Style"/>
          <w:sz w:val="22"/>
          <w:szCs w:val="22"/>
        </w:rPr>
        <w:t>provisions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120</w:t>
      </w:r>
      <w:r w:rsidRPr="000A74CD">
        <w:rPr>
          <w:rFonts w:ascii="Bookman Old Style" w:hAnsi="Bookman Old Style"/>
          <w:sz w:val="22"/>
          <w:szCs w:val="22"/>
        </w:rPr>
        <w:t>: Electrical Installation Standards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</w:t>
      </w:r>
      <w:r w:rsidR="00980747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sz w:val="22"/>
          <w:szCs w:val="22"/>
        </w:rPr>
        <w:t>1153-A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C45AFF" w:rsidRPr="000A74CD">
        <w:rPr>
          <w:rFonts w:ascii="Bookman Old Style" w:hAnsi="Bookman Old Style"/>
          <w:sz w:val="22"/>
          <w:szCs w:val="22"/>
        </w:rPr>
        <w:t xml:space="preserve"> by</w:t>
      </w:r>
      <w:r w:rsidRPr="000A74CD">
        <w:rPr>
          <w:rFonts w:ascii="Bookman Old Style" w:hAnsi="Bookman Old Style"/>
          <w:sz w:val="22"/>
          <w:szCs w:val="22"/>
        </w:rPr>
        <w:t xml:space="preserve"> adopting by reference the current edition of the National Electrical Code </w:t>
      </w:r>
      <w:r w:rsidR="00C45AFF" w:rsidRPr="000A74CD">
        <w:rPr>
          <w:rFonts w:ascii="Bookman Old Style" w:hAnsi="Bookman Old Style"/>
          <w:sz w:val="22"/>
          <w:szCs w:val="22"/>
        </w:rPr>
        <w:t>to</w:t>
      </w:r>
      <w:r w:rsidRPr="000A74CD">
        <w:rPr>
          <w:rFonts w:ascii="Bookman Old Style" w:hAnsi="Bookman Old Style"/>
          <w:sz w:val="22"/>
          <w:szCs w:val="22"/>
        </w:rPr>
        <w:t xml:space="preserve"> which</w:t>
      </w:r>
      <w:r w:rsidR="00C45AFF" w:rsidRPr="000A74CD">
        <w:rPr>
          <w:rFonts w:ascii="Bookman Old Style" w:hAnsi="Bookman Old Style"/>
          <w:sz w:val="22"/>
          <w:szCs w:val="22"/>
        </w:rPr>
        <w:t xml:space="preserve"> all installations must conform, and by making changes to the Code for Maine conditions.</w:t>
      </w:r>
      <w:r w:rsidR="000A74CD">
        <w:rPr>
          <w:rFonts w:ascii="Bookman Old Style" w:hAnsi="Bookman Old Style"/>
          <w:sz w:val="22"/>
          <w:szCs w:val="22"/>
        </w:rPr>
        <w:t xml:space="preserve"> </w:t>
      </w:r>
      <w:r w:rsidR="005440B7" w:rsidRPr="000A74CD">
        <w:rPr>
          <w:rFonts w:ascii="Bookman Old Style" w:hAnsi="Bookman Old Style"/>
          <w:sz w:val="22"/>
          <w:szCs w:val="22"/>
        </w:rPr>
        <w:t>Additionally, the Board may adopt by reference NFPA 70 with amendments and NFPA 72.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125</w:t>
      </w:r>
      <w:r w:rsidRPr="000A74CD">
        <w:rPr>
          <w:rFonts w:ascii="Bookman Old Style" w:hAnsi="Bookman Old Style"/>
          <w:sz w:val="22"/>
          <w:szCs w:val="22"/>
        </w:rPr>
        <w:t>: Scope of Practice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</w:t>
      </w:r>
      <w:r w:rsidR="00980747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sz w:val="22"/>
          <w:szCs w:val="22"/>
        </w:rPr>
        <w:t>1153-A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lastRenderedPageBreak/>
        <w:t>PURPOSE: This chapter sets forth the scope of practice for various licenses issued by the board.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and make other changes.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E617D3" w:rsidRPr="000A74CD" w:rsidRDefault="00E617D3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130</w:t>
      </w:r>
      <w:r w:rsidRPr="000A74CD">
        <w:rPr>
          <w:rFonts w:ascii="Bookman Old Style" w:hAnsi="Bookman Old Style"/>
          <w:sz w:val="22"/>
          <w:szCs w:val="22"/>
        </w:rPr>
        <w:t>: Examination and Licensing Requirements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</w:t>
      </w:r>
      <w:r w:rsidRPr="000A74CD">
        <w:rPr>
          <w:rFonts w:ascii="Bookman Old Style" w:hAnsi="Bookman Old Style"/>
          <w:sz w:val="22"/>
          <w:szCs w:val="22"/>
        </w:rPr>
        <w:t>1153, 1202</w:t>
      </w:r>
      <w:r w:rsidR="00980747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sz w:val="22"/>
          <w:szCs w:val="22"/>
        </w:rPr>
        <w:t>1204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916BC3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examination and licensing requirements </w:t>
      </w:r>
      <w:r w:rsidR="00C45AFF" w:rsidRPr="000A74CD">
        <w:rPr>
          <w:rFonts w:ascii="Bookman Old Style" w:hAnsi="Bookman Old Style"/>
          <w:sz w:val="22"/>
          <w:szCs w:val="22"/>
        </w:rPr>
        <w:t>for electricians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135</w:t>
      </w:r>
      <w:r w:rsidRPr="000A74CD">
        <w:rPr>
          <w:rFonts w:ascii="Bookman Old Style" w:hAnsi="Bookman Old Style"/>
          <w:sz w:val="22"/>
          <w:szCs w:val="22"/>
        </w:rPr>
        <w:t>: Electrical Permits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§§</w:t>
      </w:r>
      <w:r w:rsidR="00980747">
        <w:rPr>
          <w:rFonts w:ascii="Bookman Old Style" w:hAnsi="Bookman Old Style"/>
          <w:sz w:val="22"/>
          <w:szCs w:val="22"/>
        </w:rPr>
        <w:t xml:space="preserve"> </w:t>
      </w:r>
      <w:r w:rsidRPr="000A74CD">
        <w:rPr>
          <w:rFonts w:ascii="Bookman Old Style" w:hAnsi="Bookman Old Style"/>
          <w:sz w:val="22"/>
          <w:szCs w:val="22"/>
        </w:rPr>
        <w:t>1102-B(2) and (4), 1153</w:t>
      </w:r>
      <w:r w:rsidR="00980747">
        <w:rPr>
          <w:rFonts w:ascii="Bookman Old Style" w:hAnsi="Bookman Old Style"/>
          <w:sz w:val="22"/>
          <w:szCs w:val="22"/>
        </w:rPr>
        <w:t>,</w:t>
      </w:r>
      <w:r w:rsidRPr="000A74CD">
        <w:rPr>
          <w:rFonts w:ascii="Bookman Old Style" w:hAnsi="Bookman Old Style"/>
          <w:sz w:val="22"/>
          <w:szCs w:val="22"/>
        </w:rPr>
        <w:t xml:space="preserve"> 1153-A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</w:t>
      </w:r>
      <w:r w:rsidR="00916BC3" w:rsidRPr="000A74CD">
        <w:rPr>
          <w:rFonts w:ascii="Bookman Old Style" w:hAnsi="Bookman Old Style"/>
          <w:sz w:val="22"/>
          <w:szCs w:val="22"/>
        </w:rPr>
        <w:t>rmity with the enabling statute by amending requirements relating to the issuance of electrical permits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:rsidR="00CA323D" w:rsidRDefault="00CA323D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:rsidR="00EA59E5" w:rsidRDefault="00EA59E5" w:rsidP="008464DC">
      <w:pPr>
        <w:rPr>
          <w:rFonts w:ascii="Bookman Old Style" w:hAnsi="Bookman Old Style"/>
          <w:sz w:val="22"/>
          <w:szCs w:val="22"/>
        </w:rPr>
      </w:pP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140</w:t>
      </w:r>
      <w:r w:rsidRPr="000A74C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Board Fees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§§</w:t>
      </w:r>
      <w:r w:rsidR="00980747">
        <w:rPr>
          <w:rFonts w:ascii="Bookman Old Style" w:hAnsi="Bookman Old Style"/>
          <w:sz w:val="22"/>
          <w:szCs w:val="22"/>
        </w:rPr>
        <w:t xml:space="preserve"> </w:t>
      </w:r>
      <w:r w:rsidR="00922528" w:rsidRPr="000A1839">
        <w:rPr>
          <w:rFonts w:ascii="Bookman Old Style" w:hAnsi="Bookman Old Style"/>
          <w:sz w:val="22"/>
          <w:szCs w:val="22"/>
        </w:rPr>
        <w:t xml:space="preserve">1102-B(4), </w:t>
      </w:r>
      <w:r w:rsidR="00655E9A" w:rsidRPr="000A1839">
        <w:rPr>
          <w:rFonts w:ascii="Bookman Old Style" w:hAnsi="Bookman Old Style"/>
          <w:sz w:val="22"/>
          <w:szCs w:val="22"/>
        </w:rPr>
        <w:t>1203-A</w:t>
      </w:r>
    </w:p>
    <w:p w:rsidR="007818DA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</w:t>
      </w:r>
      <w:r w:rsidR="002C15F7">
        <w:rPr>
          <w:rFonts w:ascii="Bookman Old Style" w:hAnsi="Bookman Old Style"/>
          <w:sz w:val="22"/>
          <w:szCs w:val="22"/>
        </w:rPr>
        <w:t>This c</w:t>
      </w:r>
      <w:r w:rsidR="007818DA" w:rsidRPr="000A1839">
        <w:rPr>
          <w:rFonts w:ascii="Bookman Old Style" w:hAnsi="Bookman Old Style"/>
          <w:sz w:val="22"/>
          <w:szCs w:val="22"/>
        </w:rPr>
        <w:t>hapter will need to be repealed when rulemaking is required for another rule chapter</w:t>
      </w:r>
      <w:r w:rsidR="002C15F7">
        <w:rPr>
          <w:rFonts w:ascii="Bookman Old Style" w:hAnsi="Bookman Old Style"/>
          <w:sz w:val="22"/>
          <w:szCs w:val="22"/>
        </w:rPr>
        <w:t xml:space="preserve"> because the Office of Professional and Occupational Regulation has established fees for the B</w:t>
      </w:r>
      <w:r w:rsidR="007818DA" w:rsidRPr="00224C69">
        <w:rPr>
          <w:rFonts w:ascii="Bookman Old Style" w:hAnsi="Bookman Old Style"/>
          <w:sz w:val="22"/>
          <w:szCs w:val="22"/>
        </w:rPr>
        <w:t>oard pursuant to 10 M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>R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>S</w:t>
      </w:r>
      <w:r w:rsidR="00980747">
        <w:rPr>
          <w:rFonts w:ascii="Bookman Old Style" w:hAnsi="Bookman Old Style"/>
          <w:sz w:val="22"/>
          <w:szCs w:val="22"/>
        </w:rPr>
        <w:t>.</w:t>
      </w:r>
      <w:r w:rsidR="007818DA" w:rsidRPr="00224C69">
        <w:rPr>
          <w:rFonts w:ascii="Bookman Old Style" w:hAnsi="Bookman Old Style"/>
          <w:sz w:val="22"/>
          <w:szCs w:val="22"/>
        </w:rPr>
        <w:t xml:space="preserve"> </w:t>
      </w:r>
      <w:r w:rsidR="00710231">
        <w:rPr>
          <w:rFonts w:ascii="Bookman Old Style" w:hAnsi="Bookman Old Style"/>
          <w:sz w:val="22"/>
          <w:szCs w:val="22"/>
        </w:rPr>
        <w:t>§</w:t>
      </w:r>
      <w:r w:rsidR="007818DA" w:rsidRPr="00224C69">
        <w:rPr>
          <w:rFonts w:ascii="Bookman Old Style" w:hAnsi="Bookman Old Style"/>
          <w:sz w:val="22"/>
          <w:szCs w:val="22"/>
        </w:rPr>
        <w:t>8003(2-A)(D) and Rule 02-041</w:t>
      </w:r>
      <w:r w:rsidR="00980747">
        <w:rPr>
          <w:rFonts w:ascii="Bookman Old Style" w:hAnsi="Bookman Old Style"/>
          <w:sz w:val="22"/>
          <w:szCs w:val="22"/>
        </w:rPr>
        <w:t>,</w:t>
      </w:r>
      <w:r w:rsidR="007818DA" w:rsidRPr="00224C69">
        <w:rPr>
          <w:rFonts w:ascii="Bookman Old Style" w:hAnsi="Bookman Old Style"/>
          <w:sz w:val="22"/>
          <w:szCs w:val="22"/>
        </w:rPr>
        <w:t xml:space="preserve"> Chapter 10.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:rsidR="00EA59E5" w:rsidRPr="000A74CD" w:rsidRDefault="00EA59E5" w:rsidP="00EA59E5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:rsidR="00EA59E5" w:rsidRPr="000A74CD" w:rsidRDefault="00EA59E5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150</w:t>
      </w:r>
      <w:r w:rsidRPr="000A74CD">
        <w:rPr>
          <w:rFonts w:ascii="Bookman Old Style" w:hAnsi="Bookman Old Style"/>
          <w:sz w:val="22"/>
          <w:szCs w:val="22"/>
        </w:rPr>
        <w:t>: Reciprocity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 §</w:t>
      </w:r>
      <w:r w:rsidR="00980747">
        <w:rPr>
          <w:rFonts w:ascii="Bookman Old Style" w:hAnsi="Bookman Old Style"/>
          <w:sz w:val="22"/>
          <w:szCs w:val="22"/>
        </w:rPr>
        <w:t xml:space="preserve">§ 1153, </w:t>
      </w:r>
      <w:r w:rsidRPr="000A74CD">
        <w:rPr>
          <w:rFonts w:ascii="Bookman Old Style" w:hAnsi="Bookman Old Style"/>
          <w:sz w:val="22"/>
          <w:szCs w:val="22"/>
        </w:rPr>
        <w:t>1206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163242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procedures for qualifying for licensure by reciprocity.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170</w:t>
      </w:r>
      <w:r w:rsidRPr="000A74CD">
        <w:rPr>
          <w:rFonts w:ascii="Bookman Old Style" w:hAnsi="Bookman Old Style"/>
          <w:sz w:val="22"/>
          <w:szCs w:val="22"/>
        </w:rPr>
        <w:t>: Denial Appeals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10 M.R.S. </w:t>
      </w:r>
      <w:r w:rsidR="00710231">
        <w:rPr>
          <w:rFonts w:ascii="Bookman Old Style" w:hAnsi="Bookman Old Style"/>
          <w:sz w:val="22"/>
          <w:szCs w:val="22"/>
        </w:rPr>
        <w:t>§</w:t>
      </w:r>
      <w:r w:rsidRPr="000A74CD">
        <w:rPr>
          <w:rFonts w:ascii="Bookman Old Style" w:hAnsi="Bookman Old Style"/>
          <w:sz w:val="22"/>
          <w:szCs w:val="22"/>
        </w:rPr>
        <w:t>8003(5-A)</w:t>
      </w:r>
    </w:p>
    <w:p w:rsidR="00E617D3" w:rsidRPr="000A74CD" w:rsidRDefault="00AB649A" w:rsidP="00E617D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This c</w:t>
      </w:r>
      <w:r w:rsidR="00E617D3" w:rsidRPr="000A74CD">
        <w:rPr>
          <w:rFonts w:ascii="Bookman Old Style" w:hAnsi="Bookman Old Style"/>
          <w:sz w:val="22"/>
          <w:szCs w:val="22"/>
        </w:rPr>
        <w:t>hapter sets forth an applicant</w:t>
      </w:r>
      <w:r w:rsidR="00163242" w:rsidRPr="000A74CD">
        <w:rPr>
          <w:rFonts w:ascii="Bookman Old Style" w:hAnsi="Bookman Old Style"/>
          <w:sz w:val="22"/>
          <w:szCs w:val="22"/>
        </w:rPr>
        <w:t>’s</w:t>
      </w:r>
      <w:r w:rsidR="00E617D3" w:rsidRPr="000A74CD">
        <w:rPr>
          <w:rFonts w:ascii="Bookman Old Style" w:hAnsi="Bookman Old Style"/>
          <w:sz w:val="22"/>
          <w:szCs w:val="22"/>
        </w:rPr>
        <w:t xml:space="preserve"> or licensee’s right to appeal </w:t>
      </w:r>
      <w:r w:rsidR="00897DC6" w:rsidRPr="000A74CD">
        <w:rPr>
          <w:rFonts w:ascii="Bookman Old Style" w:hAnsi="Bookman Old Style"/>
          <w:sz w:val="22"/>
          <w:szCs w:val="22"/>
        </w:rPr>
        <w:t>a license denial</w:t>
      </w:r>
      <w:r w:rsidR="00E617D3" w:rsidRPr="000A74CD">
        <w:rPr>
          <w:rFonts w:ascii="Bookman Old Style" w:hAnsi="Bookman Old Style"/>
          <w:sz w:val="22"/>
          <w:szCs w:val="22"/>
        </w:rPr>
        <w:t>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</w:t>
      </w:r>
      <w:r w:rsidR="00897DC6" w:rsidRPr="000A74CD">
        <w:rPr>
          <w:rFonts w:ascii="Bookman Old Style" w:hAnsi="Bookman Old Style"/>
          <w:sz w:val="22"/>
          <w:szCs w:val="22"/>
        </w:rPr>
        <w:t>by amending or repealing this chapter</w:t>
      </w:r>
      <w:r w:rsidR="00120496" w:rsidRPr="000A74CD">
        <w:rPr>
          <w:rFonts w:ascii="Bookman Old Style" w:hAnsi="Bookman Old Style"/>
          <w:sz w:val="22"/>
          <w:szCs w:val="22"/>
        </w:rPr>
        <w:t>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lastRenderedPageBreak/>
        <w:t>AFFECTED PARTIES: Applicants and licensees.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0A74CD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0A74CD" w:rsidSect="000A74CD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D" w:rsidRDefault="000A74CD" w:rsidP="000A74CD">
      <w:r>
        <w:separator/>
      </w:r>
    </w:p>
  </w:endnote>
  <w:endnote w:type="continuationSeparator" w:id="0">
    <w:p w:rsidR="000A74CD" w:rsidRDefault="000A74CD" w:rsidP="000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D" w:rsidRDefault="000A74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231">
      <w:rPr>
        <w:noProof/>
      </w:rPr>
      <w:t>1</w:t>
    </w:r>
    <w:r>
      <w:rPr>
        <w:noProof/>
      </w:rPr>
      <w:fldChar w:fldCharType="end"/>
    </w:r>
  </w:p>
  <w:p w:rsidR="000A74CD" w:rsidRDefault="000A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D" w:rsidRDefault="000A74CD" w:rsidP="000A74CD">
      <w:r>
        <w:separator/>
      </w:r>
    </w:p>
  </w:footnote>
  <w:footnote w:type="continuationSeparator" w:id="0">
    <w:p w:rsidR="000A74CD" w:rsidRDefault="000A74CD" w:rsidP="000A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DC"/>
    <w:rsid w:val="000A1839"/>
    <w:rsid w:val="000A4239"/>
    <w:rsid w:val="000A74CD"/>
    <w:rsid w:val="000D394D"/>
    <w:rsid w:val="00103AEC"/>
    <w:rsid w:val="00120496"/>
    <w:rsid w:val="00130DA4"/>
    <w:rsid w:val="00163242"/>
    <w:rsid w:val="00186118"/>
    <w:rsid w:val="002254EC"/>
    <w:rsid w:val="00252217"/>
    <w:rsid w:val="0025444F"/>
    <w:rsid w:val="002958F2"/>
    <w:rsid w:val="002C15F7"/>
    <w:rsid w:val="002E0ED7"/>
    <w:rsid w:val="004508A5"/>
    <w:rsid w:val="00461BCF"/>
    <w:rsid w:val="00476443"/>
    <w:rsid w:val="00480568"/>
    <w:rsid w:val="00503DCC"/>
    <w:rsid w:val="00514ED3"/>
    <w:rsid w:val="00536FBB"/>
    <w:rsid w:val="005440B7"/>
    <w:rsid w:val="00552EA5"/>
    <w:rsid w:val="00655E9A"/>
    <w:rsid w:val="006B3550"/>
    <w:rsid w:val="00710231"/>
    <w:rsid w:val="007818DA"/>
    <w:rsid w:val="007B4778"/>
    <w:rsid w:val="008464DC"/>
    <w:rsid w:val="00897DC6"/>
    <w:rsid w:val="00916BC3"/>
    <w:rsid w:val="00922528"/>
    <w:rsid w:val="00980747"/>
    <w:rsid w:val="009909E0"/>
    <w:rsid w:val="009D6748"/>
    <w:rsid w:val="00A96CB9"/>
    <w:rsid w:val="00AA06C2"/>
    <w:rsid w:val="00AB649A"/>
    <w:rsid w:val="00B357C8"/>
    <w:rsid w:val="00C45AFF"/>
    <w:rsid w:val="00C569EA"/>
    <w:rsid w:val="00CA323D"/>
    <w:rsid w:val="00D51EA2"/>
    <w:rsid w:val="00E617D3"/>
    <w:rsid w:val="00EA59E5"/>
    <w:rsid w:val="00EF746B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69EA"/>
    <w:rPr>
      <w:sz w:val="24"/>
    </w:rPr>
  </w:style>
  <w:style w:type="character" w:styleId="Hyperlink">
    <w:name w:val="Hyperlink"/>
    <w:rsid w:val="00E617D3"/>
    <w:rPr>
      <w:color w:val="0000FF"/>
      <w:u w:val="single"/>
    </w:rPr>
  </w:style>
  <w:style w:type="paragraph" w:styleId="Header">
    <w:name w:val="header"/>
    <w:basedOn w:val="Normal"/>
    <w:link w:val="HeaderChar"/>
    <w:rsid w:val="000A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4CD"/>
  </w:style>
  <w:style w:type="paragraph" w:styleId="Footer">
    <w:name w:val="footer"/>
    <w:basedOn w:val="Normal"/>
    <w:link w:val="FooterChar"/>
    <w:uiPriority w:val="99"/>
    <w:rsid w:val="000A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Wismer, Don</cp:lastModifiedBy>
  <cp:revision>24</cp:revision>
  <cp:lastPrinted>2009-09-18T13:46:00Z</cp:lastPrinted>
  <dcterms:created xsi:type="dcterms:W3CDTF">2014-11-10T18:28:00Z</dcterms:created>
  <dcterms:modified xsi:type="dcterms:W3CDTF">2016-08-05T14:30:00Z</dcterms:modified>
</cp:coreProperties>
</file>