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4199F" w:rsidRPr="0064199F" w:rsidRDefault="0064199F">
      <w:pPr>
        <w:jc w:val="center"/>
        <w:rPr>
          <w:rFonts w:ascii="Bookman Old Style" w:hAnsi="Bookman Old Style"/>
          <w:sz w:val="22"/>
        </w:rPr>
      </w:pPr>
      <w:bookmarkStart w:id="0" w:name="_GoBack"/>
      <w:bookmarkEnd w:id="0"/>
      <w:r w:rsidRPr="0064199F">
        <w:rPr>
          <w:rFonts w:ascii="Bookman Old Style" w:hAnsi="Bookman Old Style"/>
          <w:b/>
          <w:sz w:val="22"/>
        </w:rPr>
        <w:t>02-360</w:t>
      </w:r>
    </w:p>
    <w:p w:rsidR="0064199F" w:rsidRPr="0064199F" w:rsidRDefault="0064199F">
      <w:pPr>
        <w:jc w:val="center"/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b/>
          <w:sz w:val="22"/>
        </w:rPr>
        <w:t>BOARD OF LICENSURE FOR PROFESSIONAL LAND SURVEYORS</w:t>
      </w:r>
    </w:p>
    <w:p w:rsidR="003D4914" w:rsidRPr="0064199F" w:rsidRDefault="003D4914">
      <w:pPr>
        <w:jc w:val="center"/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20</w:t>
      </w:r>
      <w:r w:rsidR="00FE03C1" w:rsidRPr="0064199F">
        <w:rPr>
          <w:rFonts w:ascii="Bookman Old Style" w:hAnsi="Bookman Old Style"/>
          <w:sz w:val="22"/>
        </w:rPr>
        <w:t>1</w:t>
      </w:r>
      <w:r w:rsidR="008F2AB4" w:rsidRPr="0064199F">
        <w:rPr>
          <w:rFonts w:ascii="Bookman Old Style" w:hAnsi="Bookman Old Style"/>
          <w:sz w:val="22"/>
        </w:rPr>
        <w:t>4</w:t>
      </w:r>
      <w:r w:rsidRPr="0064199F">
        <w:rPr>
          <w:rFonts w:ascii="Bookman Old Style" w:hAnsi="Bookman Old Style"/>
          <w:sz w:val="22"/>
        </w:rPr>
        <w:t xml:space="preserve"> – 20</w:t>
      </w:r>
      <w:r w:rsidR="002C70C0" w:rsidRPr="0064199F">
        <w:rPr>
          <w:rFonts w:ascii="Bookman Old Style" w:hAnsi="Bookman Old Style"/>
          <w:sz w:val="22"/>
        </w:rPr>
        <w:t>1</w:t>
      </w:r>
      <w:r w:rsidR="004E0F7F" w:rsidRPr="0064199F">
        <w:rPr>
          <w:rFonts w:ascii="Bookman Old Style" w:hAnsi="Bookman Old Style"/>
          <w:sz w:val="22"/>
        </w:rPr>
        <w:t>5</w:t>
      </w:r>
      <w:r w:rsidRPr="0064199F">
        <w:rPr>
          <w:rFonts w:ascii="Bookman Old Style" w:hAnsi="Bookman Old Style"/>
          <w:sz w:val="22"/>
        </w:rPr>
        <w:t xml:space="preserve"> </w:t>
      </w:r>
      <w:r w:rsidR="0064199F" w:rsidRPr="0064199F">
        <w:rPr>
          <w:rFonts w:ascii="Bookman Old Style" w:hAnsi="Bookman Old Style"/>
          <w:sz w:val="22"/>
        </w:rPr>
        <w:t>Regulatory Agenda</w:t>
      </w:r>
    </w:p>
    <w:p w:rsidR="003D4914" w:rsidRPr="0064199F" w:rsidRDefault="004E0F7F">
      <w:pPr>
        <w:jc w:val="center"/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July 15, 2014</w:t>
      </w:r>
    </w:p>
    <w:p w:rsidR="003D4914" w:rsidRDefault="003D4914">
      <w:pPr>
        <w:jc w:val="center"/>
        <w:rPr>
          <w:rFonts w:ascii="Bookman Old Style" w:hAnsi="Bookman Old Style"/>
          <w:sz w:val="22"/>
        </w:rPr>
      </w:pPr>
    </w:p>
    <w:p w:rsidR="0064199F" w:rsidRPr="0064199F" w:rsidRDefault="0064199F">
      <w:pPr>
        <w:jc w:val="center"/>
        <w:rPr>
          <w:rFonts w:ascii="Bookman Old Style" w:hAnsi="Bookman Old Style"/>
          <w:sz w:val="22"/>
        </w:rPr>
      </w:pP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 xml:space="preserve">AGENCY UMBRELLA-UNIT NUMBER: </w:t>
      </w:r>
      <w:r w:rsidRPr="0064199F">
        <w:rPr>
          <w:rFonts w:ascii="Bookman Old Style" w:hAnsi="Bookman Old Style"/>
          <w:b/>
          <w:sz w:val="22"/>
        </w:rPr>
        <w:t>02-360</w:t>
      </w:r>
    </w:p>
    <w:p w:rsidR="003D4914" w:rsidRPr="0064199F" w:rsidRDefault="003D4914" w:rsidP="0064199F">
      <w:pPr>
        <w:ind w:right="360"/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AGENCY NAME: Department of Professional &amp; Financial Regulation</w:t>
      </w:r>
      <w:r w:rsidR="0064199F">
        <w:rPr>
          <w:rFonts w:ascii="Bookman Old Style" w:hAnsi="Bookman Old Style"/>
          <w:sz w:val="22"/>
        </w:rPr>
        <w:t xml:space="preserve">, </w:t>
      </w:r>
      <w:r w:rsidRPr="0064199F">
        <w:rPr>
          <w:rFonts w:ascii="Bookman Old Style" w:hAnsi="Bookman Old Style"/>
          <w:sz w:val="22"/>
        </w:rPr>
        <w:t xml:space="preserve">Office of </w:t>
      </w:r>
      <w:r w:rsidR="004E4866" w:rsidRPr="0064199F">
        <w:rPr>
          <w:rFonts w:ascii="Bookman Old Style" w:hAnsi="Bookman Old Style"/>
          <w:sz w:val="22"/>
        </w:rPr>
        <w:t>Professional &amp; Occupational Regulation</w:t>
      </w:r>
      <w:r w:rsidR="0064199F">
        <w:rPr>
          <w:rFonts w:ascii="Bookman Old Style" w:hAnsi="Bookman Old Style"/>
          <w:sz w:val="22"/>
        </w:rPr>
        <w:t>,</w:t>
      </w:r>
      <w:r w:rsidRPr="0064199F">
        <w:rPr>
          <w:rFonts w:ascii="Bookman Old Style" w:hAnsi="Bookman Old Style"/>
          <w:sz w:val="22"/>
        </w:rPr>
        <w:t xml:space="preserve"> </w:t>
      </w:r>
      <w:r w:rsidRPr="0064199F">
        <w:rPr>
          <w:rFonts w:ascii="Bookman Old Style" w:hAnsi="Bookman Old Style"/>
          <w:b/>
          <w:sz w:val="22"/>
        </w:rPr>
        <w:t>Board of Licensure for Professional Land Surveyors</w:t>
      </w:r>
    </w:p>
    <w:p w:rsidR="004E4866" w:rsidRPr="0064199F" w:rsidRDefault="004E4866">
      <w:pPr>
        <w:rPr>
          <w:rFonts w:ascii="Bookman Old Style" w:hAnsi="Bookman Old Style"/>
          <w:sz w:val="22"/>
        </w:rPr>
      </w:pP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b/>
          <w:sz w:val="22"/>
        </w:rPr>
        <w:t>CONTACT PERSON</w:t>
      </w:r>
      <w:r w:rsidRPr="0064199F">
        <w:rPr>
          <w:rFonts w:ascii="Bookman Old Style" w:hAnsi="Bookman Old Style"/>
          <w:sz w:val="22"/>
        </w:rPr>
        <w:t xml:space="preserve">: </w:t>
      </w:r>
      <w:r w:rsidR="004E0F7F" w:rsidRPr="0064199F">
        <w:rPr>
          <w:rFonts w:ascii="Bookman Old Style" w:hAnsi="Bookman Old Style"/>
          <w:sz w:val="22"/>
        </w:rPr>
        <w:t>Karen L. Bivins</w:t>
      </w:r>
      <w:r w:rsidR="004E4866" w:rsidRPr="0064199F">
        <w:rPr>
          <w:rFonts w:ascii="Bookman Old Style" w:hAnsi="Bookman Old Style"/>
          <w:sz w:val="22"/>
        </w:rPr>
        <w:t xml:space="preserve"> – (207) 624-852</w:t>
      </w:r>
      <w:r w:rsidR="004E0F7F" w:rsidRPr="0064199F">
        <w:rPr>
          <w:rFonts w:ascii="Bookman Old Style" w:hAnsi="Bookman Old Style"/>
          <w:sz w:val="22"/>
        </w:rPr>
        <w:t>4</w:t>
      </w:r>
      <w:r w:rsidR="0064199F">
        <w:rPr>
          <w:rFonts w:ascii="Bookman Old Style" w:hAnsi="Bookman Old Style"/>
          <w:sz w:val="22"/>
        </w:rPr>
        <w:t>. E-mail:</w:t>
      </w:r>
      <w:r w:rsidR="004E4866" w:rsidRPr="0064199F">
        <w:rPr>
          <w:rFonts w:ascii="Bookman Old Style" w:hAnsi="Bookman Old Style"/>
          <w:sz w:val="22"/>
        </w:rPr>
        <w:t xml:space="preserve"> </w:t>
      </w:r>
      <w:hyperlink r:id="rId6" w:history="1">
        <w:r w:rsidR="0064199F" w:rsidRPr="00864ED6">
          <w:rPr>
            <w:rStyle w:val="Hyperlink"/>
            <w:rFonts w:ascii="Bookman Old Style" w:hAnsi="Bookman Old Style"/>
            <w:sz w:val="22"/>
          </w:rPr>
          <w:t>Karen.L.Bivins@Maine.gov</w:t>
        </w:r>
      </w:hyperlink>
      <w:r w:rsidR="0064199F">
        <w:rPr>
          <w:rFonts w:ascii="Bookman Old Style" w:hAnsi="Bookman Old Style"/>
          <w:sz w:val="22"/>
        </w:rPr>
        <w:t xml:space="preserve"> .</w:t>
      </w:r>
      <w:r w:rsidR="00E307B9" w:rsidRPr="0064199F">
        <w:rPr>
          <w:rFonts w:ascii="Bookman Old Style" w:hAnsi="Bookman Old Style"/>
          <w:sz w:val="22"/>
        </w:rPr>
        <w:t xml:space="preserve"> 35 State House Station, Augusta, ME 04333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</w:p>
    <w:p w:rsidR="003D4914" w:rsidRPr="0064199F" w:rsidRDefault="003D4914">
      <w:pPr>
        <w:rPr>
          <w:rFonts w:ascii="Bookman Old Style" w:hAnsi="Bookman Old Style"/>
          <w:spacing w:val="-8"/>
          <w:kern w:val="22"/>
          <w:sz w:val="22"/>
        </w:rPr>
      </w:pPr>
      <w:r w:rsidRPr="0064199F">
        <w:rPr>
          <w:rFonts w:ascii="Bookman Old Style" w:hAnsi="Bookman Old Style"/>
          <w:b/>
          <w:spacing w:val="-8"/>
          <w:kern w:val="22"/>
          <w:sz w:val="22"/>
        </w:rPr>
        <w:t>EMERGENCY RULES ADOPTED SINCE THE LAST REGULATORY AGENDA</w:t>
      </w:r>
      <w:r w:rsidRPr="0064199F">
        <w:rPr>
          <w:rFonts w:ascii="Bookman Old Style" w:hAnsi="Bookman Old Style"/>
          <w:spacing w:val="-8"/>
          <w:kern w:val="22"/>
          <w:sz w:val="22"/>
        </w:rPr>
        <w:t>: None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</w:p>
    <w:p w:rsidR="003D4914" w:rsidRPr="0064199F" w:rsidRDefault="003D4914">
      <w:pPr>
        <w:rPr>
          <w:rFonts w:ascii="Bookman Old Style" w:hAnsi="Bookman Old Style"/>
          <w:b/>
          <w:sz w:val="22"/>
        </w:rPr>
      </w:pPr>
      <w:r w:rsidRPr="0064199F">
        <w:rPr>
          <w:rFonts w:ascii="Bookman Old Style" w:hAnsi="Bookman Old Style"/>
          <w:b/>
          <w:sz w:val="22"/>
        </w:rPr>
        <w:t xml:space="preserve">EXPECTED </w:t>
      </w:r>
      <w:r w:rsidR="00537DC5" w:rsidRPr="0064199F">
        <w:rPr>
          <w:rFonts w:ascii="Bookman Old Style" w:hAnsi="Bookman Old Style"/>
          <w:b/>
          <w:sz w:val="22"/>
        </w:rPr>
        <w:t>2014</w:t>
      </w:r>
      <w:r w:rsidR="0064199F">
        <w:rPr>
          <w:rFonts w:ascii="Bookman Old Style" w:hAnsi="Bookman Old Style"/>
          <w:b/>
          <w:sz w:val="22"/>
        </w:rPr>
        <w:t xml:space="preserve"> </w:t>
      </w:r>
      <w:r w:rsidR="00537DC5" w:rsidRPr="0064199F">
        <w:rPr>
          <w:rFonts w:ascii="Bookman Old Style" w:hAnsi="Bookman Old Style"/>
          <w:b/>
          <w:sz w:val="22"/>
        </w:rPr>
        <w:t>- 2015</w:t>
      </w:r>
      <w:r w:rsidRPr="0064199F">
        <w:rPr>
          <w:rFonts w:ascii="Bookman Old Style" w:hAnsi="Bookman Old Style"/>
          <w:b/>
          <w:sz w:val="22"/>
        </w:rPr>
        <w:t xml:space="preserve"> RULE-MAKING ACTIVITY: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b/>
          <w:sz w:val="22"/>
        </w:rPr>
        <w:t>CHAPTER</w:t>
      </w:r>
      <w:r w:rsidR="0064199F" w:rsidRPr="0064199F">
        <w:rPr>
          <w:rFonts w:ascii="Bookman Old Style" w:hAnsi="Bookman Old Style"/>
          <w:b/>
          <w:sz w:val="22"/>
        </w:rPr>
        <w:t xml:space="preserve"> </w:t>
      </w:r>
      <w:r w:rsidRPr="0064199F">
        <w:rPr>
          <w:rFonts w:ascii="Bookman Old Style" w:hAnsi="Bookman Old Style"/>
          <w:b/>
          <w:sz w:val="22"/>
        </w:rPr>
        <w:t>10</w:t>
      </w:r>
      <w:r w:rsidRPr="0064199F">
        <w:rPr>
          <w:rFonts w:ascii="Bookman Old Style" w:hAnsi="Bookman Old Style"/>
          <w:sz w:val="22"/>
        </w:rPr>
        <w:t>: Definitions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STATUTORY AUTHORITY: 32 MRSA §</w:t>
      </w:r>
      <w:r w:rsidR="004E0F7F" w:rsidRPr="0064199F">
        <w:rPr>
          <w:rFonts w:ascii="Bookman Old Style" w:hAnsi="Bookman Old Style"/>
          <w:sz w:val="22"/>
        </w:rPr>
        <w:t>18212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PURPOSE: This chapter defines words used in the Board’s rules.</w:t>
      </w:r>
      <w:r w:rsidR="0064199F">
        <w:rPr>
          <w:rFonts w:ascii="Bookman Old Style" w:hAnsi="Bookman Old Style"/>
          <w:sz w:val="22"/>
        </w:rPr>
        <w:t xml:space="preserve"> </w:t>
      </w:r>
      <w:r w:rsidRPr="0064199F">
        <w:rPr>
          <w:rFonts w:ascii="Bookman Old Style" w:hAnsi="Bookman Old Style"/>
          <w:sz w:val="22"/>
        </w:rPr>
        <w:t>The board may need to amend the rule to define new terms or clarify existing terms. The Board does not plan to use consensus-based rule development in proposing any needed changes.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ANTICIPATED SCHEDULE: Within the year, if necessary.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proofErr w:type="gramStart"/>
      <w:r w:rsidRPr="0064199F">
        <w:rPr>
          <w:rFonts w:ascii="Bookman Old Style" w:hAnsi="Bookman Old Style"/>
          <w:sz w:val="22"/>
        </w:rPr>
        <w:t>AFFECTED PARTIES: Licensees and the public.</w:t>
      </w:r>
      <w:proofErr w:type="gramEnd"/>
    </w:p>
    <w:p w:rsidR="003D4914" w:rsidRPr="0064199F" w:rsidRDefault="003D4914">
      <w:pPr>
        <w:rPr>
          <w:rFonts w:ascii="Bookman Old Style" w:hAnsi="Bookman Old Style"/>
          <w:sz w:val="22"/>
        </w:rPr>
      </w:pP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b/>
          <w:sz w:val="22"/>
        </w:rPr>
        <w:t>CHAPTER</w:t>
      </w:r>
      <w:r w:rsidR="0064199F" w:rsidRPr="0064199F">
        <w:rPr>
          <w:rFonts w:ascii="Bookman Old Style" w:hAnsi="Bookman Old Style"/>
          <w:b/>
          <w:sz w:val="22"/>
        </w:rPr>
        <w:t xml:space="preserve"> </w:t>
      </w:r>
      <w:r w:rsidRPr="0064199F">
        <w:rPr>
          <w:rFonts w:ascii="Bookman Old Style" w:hAnsi="Bookman Old Style"/>
          <w:b/>
          <w:sz w:val="22"/>
        </w:rPr>
        <w:t>40</w:t>
      </w:r>
      <w:r w:rsidRPr="0064199F">
        <w:rPr>
          <w:rFonts w:ascii="Bookman Old Style" w:hAnsi="Bookman Old Style"/>
          <w:sz w:val="22"/>
        </w:rPr>
        <w:t>: Qualification for Licensure as Land Surveyor-In-Training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STATUTORY AUTHORITY: 32 MRSA §</w:t>
      </w:r>
      <w:r w:rsidR="004E0F7F" w:rsidRPr="0064199F">
        <w:rPr>
          <w:rFonts w:ascii="Bookman Old Style" w:hAnsi="Bookman Old Style"/>
          <w:sz w:val="22"/>
        </w:rPr>
        <w:t>18212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PURPOSE: This Chapter sets the requirements for licensure as a land surveyor-in-training.</w:t>
      </w:r>
      <w:r w:rsidR="0064199F">
        <w:rPr>
          <w:rFonts w:ascii="Bookman Old Style" w:hAnsi="Bookman Old Style"/>
          <w:sz w:val="22"/>
        </w:rPr>
        <w:t xml:space="preserve"> </w:t>
      </w:r>
      <w:r w:rsidRPr="0064199F">
        <w:rPr>
          <w:rFonts w:ascii="Bookman Old Style" w:hAnsi="Bookman Old Style"/>
          <w:sz w:val="22"/>
        </w:rPr>
        <w:t>The Board may need to amend the chapter to clarify licensing procedures</w:t>
      </w:r>
      <w:r w:rsidR="004E0F7F" w:rsidRPr="0064199F">
        <w:rPr>
          <w:rFonts w:ascii="Bookman Old Style" w:hAnsi="Bookman Old Style"/>
          <w:sz w:val="22"/>
        </w:rPr>
        <w:t>.</w:t>
      </w:r>
      <w:r w:rsidRPr="0064199F">
        <w:rPr>
          <w:rFonts w:ascii="Bookman Old Style" w:hAnsi="Bookman Old Style"/>
          <w:sz w:val="22"/>
        </w:rPr>
        <w:t xml:space="preserve"> The Board does not plan to use consensus-based rule development in proposing any needed changes. 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ANTICIPATED SCHEDULE: Within the year, if necessary.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proofErr w:type="gramStart"/>
      <w:r w:rsidRPr="0064199F">
        <w:rPr>
          <w:rFonts w:ascii="Bookman Old Style" w:hAnsi="Bookman Old Style"/>
          <w:sz w:val="22"/>
        </w:rPr>
        <w:t>AFFECTED PARTIES: License applicants.</w:t>
      </w:r>
      <w:proofErr w:type="gramEnd"/>
      <w:r w:rsidR="0064199F" w:rsidRPr="0064199F">
        <w:rPr>
          <w:rFonts w:ascii="Bookman Old Style" w:hAnsi="Bookman Old Style"/>
          <w:sz w:val="22"/>
        </w:rPr>
        <w:t xml:space="preserve"> 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b/>
          <w:sz w:val="22"/>
        </w:rPr>
        <w:t>CHAPTER 50</w:t>
      </w:r>
      <w:r w:rsidRPr="0064199F">
        <w:rPr>
          <w:rFonts w:ascii="Bookman Old Style" w:hAnsi="Bookman Old Style"/>
          <w:sz w:val="22"/>
        </w:rPr>
        <w:t xml:space="preserve">: Qualification for Licensure as </w:t>
      </w:r>
      <w:smartTag w:uri="urn:schemas-microsoft-com:office:smarttags" w:element="place">
        <w:smartTag w:uri="urn:schemas-microsoft-com:office:smarttags" w:element="PlaceName">
          <w:r w:rsidRPr="0064199F">
            <w:rPr>
              <w:rFonts w:ascii="Bookman Old Style" w:hAnsi="Bookman Old Style"/>
              <w:sz w:val="22"/>
            </w:rPr>
            <w:t>Professional</w:t>
          </w:r>
        </w:smartTag>
        <w:r w:rsidRPr="0064199F">
          <w:rPr>
            <w:rFonts w:ascii="Bookman Old Style" w:hAnsi="Bookman Old Style"/>
            <w:sz w:val="22"/>
          </w:rPr>
          <w:t xml:space="preserve"> </w:t>
        </w:r>
        <w:smartTag w:uri="urn:schemas-microsoft-com:office:smarttags" w:element="PlaceType">
          <w:r w:rsidRPr="0064199F">
            <w:rPr>
              <w:rFonts w:ascii="Bookman Old Style" w:hAnsi="Bookman Old Style"/>
              <w:sz w:val="22"/>
            </w:rPr>
            <w:t>Land</w:t>
          </w:r>
        </w:smartTag>
      </w:smartTag>
      <w:r w:rsidRPr="0064199F">
        <w:rPr>
          <w:rFonts w:ascii="Bookman Old Style" w:hAnsi="Bookman Old Style"/>
          <w:sz w:val="22"/>
        </w:rPr>
        <w:t xml:space="preserve"> Surveyor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STATUTORY AUTHORITY: 32 MRSA §</w:t>
      </w:r>
      <w:r w:rsidR="004E0F7F" w:rsidRPr="0064199F">
        <w:rPr>
          <w:rFonts w:ascii="Bookman Old Style" w:hAnsi="Bookman Old Style"/>
          <w:sz w:val="22"/>
        </w:rPr>
        <w:t>18212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PURPOSE: This Chapter establishes the licensing qualifications for professional land surveyors. The Board may need to amend the chapter to clarify licensing procedures.</w:t>
      </w:r>
      <w:r w:rsidR="0064199F">
        <w:rPr>
          <w:rFonts w:ascii="Bookman Old Style" w:hAnsi="Bookman Old Style"/>
          <w:sz w:val="22"/>
        </w:rPr>
        <w:t xml:space="preserve"> </w:t>
      </w:r>
      <w:r w:rsidRPr="0064199F">
        <w:rPr>
          <w:rFonts w:ascii="Bookman Old Style" w:hAnsi="Bookman Old Style"/>
          <w:sz w:val="22"/>
        </w:rPr>
        <w:t>The Board does not plan to use consensus-based rule development in proposing any needed changes.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ANTICIPATED SCHEDULE: Within the year, if necessary.</w:t>
      </w:r>
      <w:r w:rsidR="0064199F" w:rsidRPr="0064199F">
        <w:rPr>
          <w:rFonts w:ascii="Bookman Old Style" w:hAnsi="Bookman Old Style"/>
          <w:sz w:val="22"/>
        </w:rPr>
        <w:t xml:space="preserve"> 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AFFECTED PARTIES: Licensees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b/>
          <w:sz w:val="22"/>
        </w:rPr>
        <w:t>CHAPTER 70</w:t>
      </w:r>
      <w:r w:rsidRPr="0064199F">
        <w:rPr>
          <w:rFonts w:ascii="Bookman Old Style" w:hAnsi="Bookman Old Style"/>
          <w:sz w:val="22"/>
        </w:rPr>
        <w:t>:</w:t>
      </w:r>
      <w:r w:rsidR="0064199F">
        <w:rPr>
          <w:rFonts w:ascii="Bookman Old Style" w:hAnsi="Bookman Old Style"/>
          <w:sz w:val="22"/>
        </w:rPr>
        <w:t xml:space="preserve"> </w:t>
      </w:r>
      <w:r w:rsidR="004E0F7F" w:rsidRPr="0064199F">
        <w:rPr>
          <w:rFonts w:ascii="Bookman Old Style" w:hAnsi="Bookman Old Style"/>
          <w:sz w:val="22"/>
        </w:rPr>
        <w:t>Continuing Education</w:t>
      </w:r>
      <w:r w:rsidRPr="0064199F">
        <w:rPr>
          <w:rFonts w:ascii="Bookman Old Style" w:hAnsi="Bookman Old Style"/>
          <w:sz w:val="22"/>
        </w:rPr>
        <w:t xml:space="preserve"> 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STATUTORY AUTHORITY: 32 MRSA §</w:t>
      </w:r>
      <w:r w:rsidR="0064199F" w:rsidRPr="0064199F">
        <w:rPr>
          <w:rFonts w:ascii="Bookman Old Style" w:hAnsi="Bookman Old Style"/>
          <w:sz w:val="22"/>
        </w:rPr>
        <w:t>§</w:t>
      </w:r>
      <w:r w:rsidR="0064199F">
        <w:rPr>
          <w:rFonts w:ascii="Bookman Old Style" w:hAnsi="Bookman Old Style"/>
          <w:sz w:val="22"/>
        </w:rPr>
        <w:t xml:space="preserve"> </w:t>
      </w:r>
      <w:r w:rsidR="004E0F7F" w:rsidRPr="0064199F">
        <w:rPr>
          <w:rFonts w:ascii="Bookman Old Style" w:hAnsi="Bookman Old Style"/>
          <w:sz w:val="22"/>
        </w:rPr>
        <w:t>18212 &amp; 18225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PURPOSE: This Chapter establishes the continuing education requirements for renewal.</w:t>
      </w:r>
      <w:r w:rsidR="0064199F">
        <w:rPr>
          <w:rFonts w:ascii="Bookman Old Style" w:hAnsi="Bookman Old Style"/>
          <w:sz w:val="22"/>
        </w:rPr>
        <w:t xml:space="preserve"> </w:t>
      </w:r>
      <w:r w:rsidR="004E0F7F" w:rsidRPr="0064199F">
        <w:rPr>
          <w:rFonts w:ascii="Bookman Old Style" w:hAnsi="Bookman Old Style"/>
          <w:sz w:val="22"/>
        </w:rPr>
        <w:t>The chapter may need to be amended to clarify the continuing education approval process.</w:t>
      </w:r>
      <w:r w:rsidR="0064199F">
        <w:rPr>
          <w:rFonts w:ascii="Bookman Old Style" w:hAnsi="Bookman Old Style"/>
          <w:sz w:val="22"/>
        </w:rPr>
        <w:t xml:space="preserve"> </w:t>
      </w:r>
      <w:r w:rsidRPr="0064199F">
        <w:rPr>
          <w:rFonts w:ascii="Bookman Old Style" w:hAnsi="Bookman Old Style"/>
          <w:sz w:val="22"/>
        </w:rPr>
        <w:t>The Board does not plan to use consensus-based rule development in proposing any needed changes.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lastRenderedPageBreak/>
        <w:t>ANTICIPATED SCHEDULE: Within the year</w:t>
      </w:r>
      <w:r w:rsidR="004928C7" w:rsidRPr="0064199F">
        <w:rPr>
          <w:rFonts w:ascii="Bookman Old Style" w:hAnsi="Bookman Old Style"/>
          <w:sz w:val="22"/>
        </w:rPr>
        <w:t>.</w:t>
      </w:r>
      <w:r w:rsidR="0064199F" w:rsidRPr="0064199F">
        <w:rPr>
          <w:rFonts w:ascii="Bookman Old Style" w:hAnsi="Bookman Old Style"/>
          <w:sz w:val="22"/>
        </w:rPr>
        <w:t xml:space="preserve"> 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proofErr w:type="gramStart"/>
      <w:r w:rsidRPr="0064199F">
        <w:rPr>
          <w:rFonts w:ascii="Bookman Old Style" w:hAnsi="Bookman Old Style"/>
          <w:sz w:val="22"/>
        </w:rPr>
        <w:t>AFFECTED PARTIES: Licensees and the public.</w:t>
      </w:r>
      <w:proofErr w:type="gramEnd"/>
    </w:p>
    <w:p w:rsidR="00C84B8D" w:rsidRPr="0064199F" w:rsidRDefault="00C84B8D">
      <w:pPr>
        <w:rPr>
          <w:rFonts w:ascii="Bookman Old Style" w:hAnsi="Bookman Old Style"/>
          <w:sz w:val="22"/>
        </w:rPr>
      </w:pP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b/>
          <w:sz w:val="22"/>
        </w:rPr>
        <w:t>CHAPTER 90</w:t>
      </w:r>
      <w:r w:rsidRPr="0064199F">
        <w:rPr>
          <w:rFonts w:ascii="Bookman Old Style" w:hAnsi="Bookman Old Style"/>
          <w:sz w:val="22"/>
        </w:rPr>
        <w:t xml:space="preserve">: Standards of Practice 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STATUTORY AUTHORITY: 32 MRSA §</w:t>
      </w:r>
      <w:r w:rsidR="004E0F7F" w:rsidRPr="0064199F">
        <w:rPr>
          <w:rFonts w:ascii="Bookman Old Style" w:hAnsi="Bookman Old Style"/>
          <w:sz w:val="22"/>
        </w:rPr>
        <w:t>18212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PURPOSE: This Chapter sets the standard of practice.</w:t>
      </w:r>
      <w:r w:rsidR="0064199F">
        <w:rPr>
          <w:rFonts w:ascii="Bookman Old Style" w:hAnsi="Bookman Old Style"/>
          <w:sz w:val="22"/>
        </w:rPr>
        <w:t xml:space="preserve"> </w:t>
      </w:r>
      <w:r w:rsidRPr="0064199F">
        <w:rPr>
          <w:rFonts w:ascii="Bookman Old Style" w:hAnsi="Bookman Old Style"/>
          <w:sz w:val="22"/>
        </w:rPr>
        <w:t>The Board may amend this chapter in response to changes in technical standards or in response to issues resulting from consumer complaints.</w:t>
      </w:r>
      <w:r w:rsidR="0064199F">
        <w:rPr>
          <w:rFonts w:ascii="Bookman Old Style" w:hAnsi="Bookman Old Style"/>
          <w:sz w:val="22"/>
        </w:rPr>
        <w:t xml:space="preserve"> </w:t>
      </w:r>
      <w:r w:rsidR="00650B4A" w:rsidRPr="0064199F">
        <w:rPr>
          <w:rFonts w:ascii="Bookman Old Style" w:hAnsi="Bookman Old Style"/>
          <w:sz w:val="22"/>
        </w:rPr>
        <w:t>In addition, the Board may amend this chapter to clarify the purpose and content of the written confirmation provided to clients.</w:t>
      </w:r>
      <w:r w:rsidRPr="0064199F">
        <w:rPr>
          <w:rFonts w:ascii="Bookman Old Style" w:hAnsi="Bookman Old Style"/>
          <w:sz w:val="22"/>
        </w:rPr>
        <w:t xml:space="preserve"> The Board does not plan to use consensus-based rule development in proposing any needed changes.</w:t>
      </w:r>
      <w:r w:rsidR="0064199F" w:rsidRPr="0064199F">
        <w:rPr>
          <w:rFonts w:ascii="Bookman Old Style" w:hAnsi="Bookman Old Style"/>
          <w:sz w:val="22"/>
        </w:rPr>
        <w:t xml:space="preserve"> 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r w:rsidRPr="0064199F">
        <w:rPr>
          <w:rFonts w:ascii="Bookman Old Style" w:hAnsi="Bookman Old Style"/>
          <w:sz w:val="22"/>
        </w:rPr>
        <w:t>ANTICIPATED SCHEDULE: Within the year, if necessary.</w:t>
      </w:r>
    </w:p>
    <w:p w:rsidR="003D4914" w:rsidRPr="0064199F" w:rsidRDefault="003D4914">
      <w:pPr>
        <w:rPr>
          <w:rFonts w:ascii="Bookman Old Style" w:hAnsi="Bookman Old Style"/>
          <w:sz w:val="22"/>
        </w:rPr>
      </w:pPr>
      <w:proofErr w:type="gramStart"/>
      <w:r w:rsidRPr="0064199F">
        <w:rPr>
          <w:rFonts w:ascii="Bookman Old Style" w:hAnsi="Bookman Old Style"/>
          <w:sz w:val="22"/>
        </w:rPr>
        <w:t>AFFECTED PARTIES: Licensees and the public.</w:t>
      </w:r>
      <w:proofErr w:type="gramEnd"/>
    </w:p>
    <w:p w:rsidR="003D4914" w:rsidRPr="0064199F" w:rsidRDefault="003D4914">
      <w:pPr>
        <w:rPr>
          <w:rFonts w:ascii="Bookman Old Style" w:hAnsi="Bookman Old Style"/>
          <w:sz w:val="22"/>
        </w:rPr>
      </w:pPr>
    </w:p>
    <w:sectPr w:rsidR="003D4914" w:rsidRPr="0064199F" w:rsidSect="00641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9F" w:rsidRDefault="0064199F" w:rsidP="0064199F">
      <w:r>
        <w:separator/>
      </w:r>
    </w:p>
  </w:endnote>
  <w:endnote w:type="continuationSeparator" w:id="0">
    <w:p w:rsidR="0064199F" w:rsidRDefault="0064199F" w:rsidP="0064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9F" w:rsidRDefault="006419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042">
      <w:rPr>
        <w:noProof/>
      </w:rPr>
      <w:t>2</w:t>
    </w:r>
    <w:r>
      <w:rPr>
        <w:noProof/>
      </w:rPr>
      <w:fldChar w:fldCharType="end"/>
    </w:r>
  </w:p>
  <w:p w:rsidR="0064199F" w:rsidRDefault="00641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9F" w:rsidRDefault="0064199F" w:rsidP="0064199F">
      <w:r>
        <w:separator/>
      </w:r>
    </w:p>
  </w:footnote>
  <w:footnote w:type="continuationSeparator" w:id="0">
    <w:p w:rsidR="0064199F" w:rsidRDefault="0064199F" w:rsidP="0064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A7B"/>
    <w:rsid w:val="000E28A1"/>
    <w:rsid w:val="001261E4"/>
    <w:rsid w:val="00134CF4"/>
    <w:rsid w:val="001D74F8"/>
    <w:rsid w:val="00282F6B"/>
    <w:rsid w:val="002C70C0"/>
    <w:rsid w:val="00336A7B"/>
    <w:rsid w:val="003B0F64"/>
    <w:rsid w:val="003C746D"/>
    <w:rsid w:val="003D4914"/>
    <w:rsid w:val="004066DD"/>
    <w:rsid w:val="0047615D"/>
    <w:rsid w:val="004826AF"/>
    <w:rsid w:val="004928C7"/>
    <w:rsid w:val="004B51F0"/>
    <w:rsid w:val="004E0F7F"/>
    <w:rsid w:val="004E4866"/>
    <w:rsid w:val="00537DC5"/>
    <w:rsid w:val="00572229"/>
    <w:rsid w:val="0064199F"/>
    <w:rsid w:val="00650B4A"/>
    <w:rsid w:val="00801F99"/>
    <w:rsid w:val="008B3042"/>
    <w:rsid w:val="008F2AB4"/>
    <w:rsid w:val="00936EAA"/>
    <w:rsid w:val="00A44F7C"/>
    <w:rsid w:val="00B00980"/>
    <w:rsid w:val="00B5048B"/>
    <w:rsid w:val="00B64ECB"/>
    <w:rsid w:val="00BB0AC2"/>
    <w:rsid w:val="00C633F5"/>
    <w:rsid w:val="00C84B8D"/>
    <w:rsid w:val="00E307B9"/>
    <w:rsid w:val="00E509C5"/>
    <w:rsid w:val="00E97714"/>
    <w:rsid w:val="00FB12A4"/>
    <w:rsid w:val="00FB151C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307B9"/>
    <w:rPr>
      <w:color w:val="0000FF"/>
      <w:u w:val="single"/>
    </w:rPr>
  </w:style>
  <w:style w:type="paragraph" w:styleId="Header">
    <w:name w:val="header"/>
    <w:basedOn w:val="Normal"/>
    <w:link w:val="HeaderChar"/>
    <w:rsid w:val="00641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99F"/>
  </w:style>
  <w:style w:type="paragraph" w:styleId="Footer">
    <w:name w:val="footer"/>
    <w:basedOn w:val="Normal"/>
    <w:link w:val="FooterChar"/>
    <w:uiPriority w:val="99"/>
    <w:rsid w:val="00641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L.Bivins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cpub\WPDATA\LEIGHTOC\LSSTUF\RegAgenda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RegAgenda00.dot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– 2001 REGULATORY AGENDA</vt:lpstr>
    </vt:vector>
  </TitlesOfParts>
  <Company>PFR</Company>
  <LinksUpToDate>false</LinksUpToDate>
  <CharactersWithSpaces>2927</CharactersWithSpaces>
  <SharedDoc>false</SharedDoc>
  <HLinks>
    <vt:vector size="6" baseType="variant"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mailto:Karen.L.Bivins@maine.gov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 2001 REGULATORY AGENDA</dc:title>
  <dc:subject/>
  <dc:creator>Dir of MIS</dc:creator>
  <cp:keywords/>
  <dc:description/>
  <cp:lastModifiedBy>Don Wismer</cp:lastModifiedBy>
  <cp:revision>4</cp:revision>
  <cp:lastPrinted>2013-10-10T20:45:00Z</cp:lastPrinted>
  <dcterms:created xsi:type="dcterms:W3CDTF">2014-11-10T20:02:00Z</dcterms:created>
  <dcterms:modified xsi:type="dcterms:W3CDTF">2014-11-10T20:08:00Z</dcterms:modified>
</cp:coreProperties>
</file>