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3" w:rsidRPr="007536C3" w:rsidRDefault="007536C3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7536C3" w:rsidRPr="007536C3" w:rsidRDefault="007536C3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BOARD OF LICENSURE OF ARCHITECTS, LANDSCAPE ARCHITECTS AND INTERIOR DESIGNERS</w:t>
      </w:r>
    </w:p>
    <w:p w:rsidR="002F2264" w:rsidRPr="007536C3" w:rsidRDefault="002F2264" w:rsidP="007536C3">
      <w:pPr>
        <w:jc w:val="center"/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20</w:t>
      </w:r>
      <w:r w:rsidR="009C3DF0" w:rsidRPr="007536C3">
        <w:rPr>
          <w:rFonts w:ascii="Bookman Old Style" w:hAnsi="Bookman Old Style"/>
          <w:sz w:val="22"/>
          <w:szCs w:val="22"/>
        </w:rPr>
        <w:t>1</w:t>
      </w:r>
      <w:r w:rsidR="00FB12FE" w:rsidRPr="007536C3">
        <w:rPr>
          <w:rFonts w:ascii="Bookman Old Style" w:hAnsi="Bookman Old Style"/>
          <w:sz w:val="22"/>
          <w:szCs w:val="22"/>
        </w:rPr>
        <w:t>4</w:t>
      </w:r>
      <w:r w:rsidRPr="007536C3">
        <w:rPr>
          <w:rFonts w:ascii="Bookman Old Style" w:hAnsi="Bookman Old Style"/>
          <w:sz w:val="22"/>
          <w:szCs w:val="22"/>
        </w:rPr>
        <w:t xml:space="preserve"> – 20</w:t>
      </w:r>
      <w:r w:rsidR="00740D35" w:rsidRPr="007536C3">
        <w:rPr>
          <w:rFonts w:ascii="Bookman Old Style" w:hAnsi="Bookman Old Style"/>
          <w:sz w:val="22"/>
          <w:szCs w:val="22"/>
        </w:rPr>
        <w:t>1</w:t>
      </w:r>
      <w:r w:rsidR="00FB12FE" w:rsidRPr="007536C3">
        <w:rPr>
          <w:rFonts w:ascii="Bookman Old Style" w:hAnsi="Bookman Old Style"/>
          <w:sz w:val="22"/>
          <w:szCs w:val="22"/>
        </w:rPr>
        <w:t>5</w:t>
      </w:r>
      <w:r w:rsidRPr="007536C3">
        <w:rPr>
          <w:rFonts w:ascii="Bookman Old Style" w:hAnsi="Bookman Old Style"/>
          <w:sz w:val="22"/>
          <w:szCs w:val="22"/>
        </w:rPr>
        <w:t xml:space="preserve"> </w:t>
      </w:r>
      <w:r w:rsidR="007536C3" w:rsidRPr="007536C3">
        <w:rPr>
          <w:rFonts w:ascii="Bookman Old Style" w:hAnsi="Bookman Old Style"/>
          <w:sz w:val="22"/>
          <w:szCs w:val="22"/>
        </w:rPr>
        <w:t>Regulatory Agenda</w:t>
      </w:r>
    </w:p>
    <w:p w:rsidR="002F2264" w:rsidRPr="007536C3" w:rsidRDefault="00FB12FE" w:rsidP="007536C3">
      <w:pPr>
        <w:jc w:val="center"/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July 15, 2014</w:t>
      </w:r>
    </w:p>
    <w:p w:rsidR="002F2264" w:rsidRDefault="002F2264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7536C3" w:rsidRPr="007536C3" w:rsidRDefault="007536C3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AGENCY NAME: Department of Professional &amp; Financial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Pr="007536C3">
        <w:rPr>
          <w:rFonts w:ascii="Bookman Old Style" w:hAnsi="Bookman Old Style"/>
          <w:sz w:val="22"/>
          <w:szCs w:val="22"/>
        </w:rPr>
        <w:t xml:space="preserve">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Pr="007536C3">
        <w:rPr>
          <w:rFonts w:ascii="Bookman Old Style" w:hAnsi="Bookman Old Style"/>
          <w:b/>
          <w:sz w:val="22"/>
          <w:szCs w:val="22"/>
        </w:rPr>
        <w:t>Board of Licensure of Architects, Landscape Architects and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Interior Designers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CONTACT PERSON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FB12FE" w:rsidRPr="007536C3">
        <w:rPr>
          <w:rFonts w:ascii="Bookman Old Style" w:hAnsi="Bookman Old Style"/>
          <w:sz w:val="22"/>
          <w:szCs w:val="22"/>
        </w:rPr>
        <w:t>Karen L. Bivins</w:t>
      </w:r>
      <w:r w:rsidR="00690292">
        <w:rPr>
          <w:rFonts w:ascii="Bookman Old Style" w:hAnsi="Bookman Old Style"/>
          <w:sz w:val="22"/>
          <w:szCs w:val="22"/>
        </w:rPr>
        <w:t>. Telephone:</w:t>
      </w:r>
      <w:r w:rsidR="00CF0099" w:rsidRPr="007536C3">
        <w:rPr>
          <w:rFonts w:ascii="Bookman Old Style" w:hAnsi="Bookman Old Style"/>
          <w:sz w:val="22"/>
          <w:szCs w:val="22"/>
        </w:rPr>
        <w:t xml:space="preserve"> (207) 624-852</w:t>
      </w:r>
      <w:r w:rsidR="00FB12FE" w:rsidRPr="007536C3">
        <w:rPr>
          <w:rFonts w:ascii="Bookman Old Style" w:hAnsi="Bookman Old Style"/>
          <w:sz w:val="22"/>
          <w:szCs w:val="22"/>
        </w:rPr>
        <w:t>4</w:t>
      </w:r>
      <w:r w:rsidR="00CF0099" w:rsidRPr="007536C3">
        <w:rPr>
          <w:rFonts w:ascii="Bookman Old Style" w:hAnsi="Bookman Old Style"/>
          <w:sz w:val="22"/>
          <w:szCs w:val="22"/>
        </w:rPr>
        <w:t xml:space="preserve">; </w:t>
      </w:r>
      <w:r w:rsidR="00690292">
        <w:rPr>
          <w:rFonts w:ascii="Bookman Old Style" w:hAnsi="Bookman Old Style"/>
          <w:sz w:val="22"/>
          <w:szCs w:val="22"/>
        </w:rPr>
        <w:t xml:space="preserve">E-mail: </w:t>
      </w:r>
      <w:hyperlink r:id="rId6" w:history="1">
        <w:r w:rsidR="007536C3" w:rsidRPr="00F742FE">
          <w:rPr>
            <w:rStyle w:val="Hyperlink"/>
            <w:rFonts w:ascii="Bookman Old Style" w:hAnsi="Bookman Old Style"/>
            <w:sz w:val="22"/>
            <w:szCs w:val="22"/>
          </w:rPr>
          <w:t>Karen.L.Bivins@maine.gov</w:t>
        </w:r>
      </w:hyperlink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0D7A0C" w:rsidRPr="007536C3">
        <w:rPr>
          <w:rFonts w:ascii="Bookman Old Style" w:hAnsi="Bookman Old Style"/>
          <w:sz w:val="22"/>
          <w:szCs w:val="22"/>
        </w:rPr>
        <w:t>– 35 State House Station, Augusta, ME 04333</w:t>
      </w:r>
      <w:r w:rsidR="00690292">
        <w:rPr>
          <w:rFonts w:ascii="Bookman Old Style" w:hAnsi="Bookman Old Style"/>
          <w:sz w:val="22"/>
          <w:szCs w:val="22"/>
        </w:rPr>
        <w:t>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7536C3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7536C3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EXPECTED 20</w:t>
      </w:r>
      <w:r w:rsidR="009C3DF0" w:rsidRPr="007536C3">
        <w:rPr>
          <w:rFonts w:ascii="Bookman Old Style" w:hAnsi="Bookman Old Style"/>
          <w:b/>
          <w:sz w:val="22"/>
          <w:szCs w:val="22"/>
        </w:rPr>
        <w:t>1</w:t>
      </w:r>
      <w:r w:rsidR="00FB12FE" w:rsidRPr="007536C3">
        <w:rPr>
          <w:rFonts w:ascii="Bookman Old Style" w:hAnsi="Bookman Old Style"/>
          <w:b/>
          <w:sz w:val="22"/>
          <w:szCs w:val="22"/>
        </w:rPr>
        <w:t>4</w:t>
      </w:r>
      <w:r w:rsidRPr="007536C3">
        <w:rPr>
          <w:rFonts w:ascii="Bookman Old Style" w:hAnsi="Bookman Old Style"/>
          <w:b/>
          <w:sz w:val="22"/>
          <w:szCs w:val="22"/>
        </w:rPr>
        <w:t>-20</w:t>
      </w:r>
      <w:r w:rsidR="00740D35" w:rsidRPr="007536C3">
        <w:rPr>
          <w:rFonts w:ascii="Bookman Old Style" w:hAnsi="Bookman Old Style"/>
          <w:b/>
          <w:sz w:val="22"/>
          <w:szCs w:val="22"/>
        </w:rPr>
        <w:t>1</w:t>
      </w:r>
      <w:r w:rsidR="00FB12FE" w:rsidRPr="007536C3">
        <w:rPr>
          <w:rFonts w:ascii="Bookman Old Style" w:hAnsi="Bookman Old Style"/>
          <w:b/>
          <w:sz w:val="22"/>
          <w:szCs w:val="22"/>
        </w:rPr>
        <w:t>5</w:t>
      </w:r>
      <w:r w:rsidRPr="007536C3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</w:t>
      </w:r>
      <w:r w:rsidR="00740D35" w:rsidRPr="007536C3">
        <w:rPr>
          <w:rFonts w:ascii="Bookman Old Style" w:hAnsi="Bookman Old Style"/>
          <w:b/>
          <w:sz w:val="22"/>
          <w:szCs w:val="22"/>
        </w:rPr>
        <w:t>0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740D35" w:rsidRPr="007536C3">
        <w:rPr>
          <w:rFonts w:ascii="Bookman Old Style" w:hAnsi="Bookman Old Style"/>
          <w:sz w:val="22"/>
          <w:szCs w:val="22"/>
        </w:rPr>
        <w:t>Definitions</w:t>
      </w:r>
      <w:r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PURPOSE: This Chapter </w:t>
      </w:r>
      <w:r w:rsidR="00740D35" w:rsidRPr="007536C3">
        <w:rPr>
          <w:rFonts w:ascii="Bookman Old Style" w:hAnsi="Bookman Old Style"/>
          <w:sz w:val="22"/>
          <w:szCs w:val="22"/>
        </w:rPr>
        <w:t>defines specialized terms used throughout the board’s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define terms adopted for purposes related to other sections of the Board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="00295FF1" w:rsidRPr="007536C3">
        <w:rPr>
          <w:rFonts w:ascii="Bookman Old Style" w:hAnsi="Bookman Old Style"/>
          <w:sz w:val="22"/>
          <w:szCs w:val="22"/>
        </w:rPr>
        <w:t>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proofErr w:type="gramStart"/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proofErr w:type="gramEnd"/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b/>
          <w:sz w:val="22"/>
          <w:szCs w:val="22"/>
        </w:rPr>
        <w:t>1</w:t>
      </w:r>
      <w:r w:rsidRPr="007536C3">
        <w:rPr>
          <w:rFonts w:ascii="Bookman Old Style" w:hAnsi="Bookman Old Style"/>
          <w:b/>
          <w:sz w:val="22"/>
          <w:szCs w:val="22"/>
        </w:rPr>
        <w:t>2</w:t>
      </w:r>
      <w:r w:rsidRPr="007536C3">
        <w:rPr>
          <w:rFonts w:ascii="Bookman Old Style" w:hAnsi="Bookman Old Style"/>
          <w:sz w:val="22"/>
          <w:szCs w:val="22"/>
        </w:rPr>
        <w:t>: Rules for Architects, Landscape Architects and Interior Designers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PURPOSE: This Chapter sets </w:t>
      </w:r>
      <w:r w:rsidR="00740D35" w:rsidRPr="007536C3">
        <w:rPr>
          <w:rFonts w:ascii="Bookman Old Style" w:hAnsi="Bookman Old Style"/>
          <w:sz w:val="22"/>
          <w:szCs w:val="22"/>
        </w:rPr>
        <w:t>forth the educational qualifications, experience and examination requirement necessary for licensure as an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295FF1" w:rsidRPr="007536C3">
        <w:rPr>
          <w:rFonts w:ascii="Bookman Old Style" w:hAnsi="Bookman Old Style"/>
          <w:sz w:val="22"/>
          <w:szCs w:val="22"/>
        </w:rPr>
        <w:t>The B</w:t>
      </w:r>
      <w:r w:rsidRPr="007536C3">
        <w:rPr>
          <w:rFonts w:ascii="Bookman Old Style" w:hAnsi="Bookman Old Style"/>
          <w:sz w:val="22"/>
          <w:szCs w:val="22"/>
        </w:rPr>
        <w:t>oard does not plan to use consensus-based rule development in proposing changes.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="00295FF1"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proofErr w:type="gramStart"/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proofErr w:type="gramEnd"/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13</w:t>
      </w:r>
      <w:r w:rsidRPr="007536C3">
        <w:rPr>
          <w:rFonts w:ascii="Bookman Old Style" w:hAnsi="Bookman Old Style"/>
          <w:sz w:val="22"/>
          <w:szCs w:val="22"/>
        </w:rPr>
        <w:t>: Rules for Architects, Landscape Architects and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This Chapter sets forth the educational qualifications, experience and examination requirement necessary for licensure as a landscape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proofErr w:type="gramStart"/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proofErr w:type="gramEnd"/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14</w:t>
      </w:r>
      <w:r w:rsidRPr="007536C3">
        <w:rPr>
          <w:rFonts w:ascii="Bookman Old Style" w:hAnsi="Bookman Old Style"/>
          <w:sz w:val="22"/>
          <w:szCs w:val="22"/>
        </w:rPr>
        <w:t>: Rules for Architects, Landscape Architects and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This Chapter sets forth the educational qualifications, experience and examination requirement necessary for licensure as a certified interior designer.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Changes </w:t>
      </w:r>
      <w:r w:rsidRPr="007536C3">
        <w:rPr>
          <w:rFonts w:ascii="Bookman Old Style" w:hAnsi="Bookman Old Style"/>
          <w:sz w:val="22"/>
          <w:szCs w:val="22"/>
        </w:rPr>
        <w:lastRenderedPageBreak/>
        <w:t>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proofErr w:type="gramStart"/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proofErr w:type="gramEnd"/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E2683C" w:rsidRPr="007536C3" w:rsidRDefault="00E2683C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15</w:t>
      </w:r>
      <w:r w:rsidRPr="007536C3">
        <w:rPr>
          <w:rFonts w:ascii="Bookman Old Style" w:hAnsi="Bookman Old Style"/>
          <w:sz w:val="22"/>
          <w:szCs w:val="22"/>
        </w:rPr>
        <w:t>: Rules for Architects, Landscape Architects and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MRSA §214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This Chapter sets forth the license application process and references the license fees established by the 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proofErr w:type="gramStart"/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proofErr w:type="gramEnd"/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17</w:t>
      </w:r>
      <w:r w:rsidRPr="007536C3">
        <w:rPr>
          <w:rFonts w:ascii="Bookman Old Style" w:hAnsi="Bookman Old Style"/>
          <w:sz w:val="22"/>
          <w:szCs w:val="22"/>
        </w:rPr>
        <w:t>: Rules for Architects, Landscape Architects and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STATUTORY AUTHORITY: 32 M</w:t>
      </w:r>
      <w:r w:rsidR="00C24680">
        <w:rPr>
          <w:rFonts w:ascii="Bookman Old Style" w:hAnsi="Bookman Old Style"/>
          <w:sz w:val="22"/>
          <w:szCs w:val="22"/>
        </w:rPr>
        <w:t>RSA §214</w:t>
      </w:r>
      <w:bookmarkStart w:id="0" w:name="_GoBack"/>
      <w:bookmarkEnd w:id="0"/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This Chapter sets forth prohibited practices that may result in disciplinary action against a licensee, or denial of nonrenewal of a license.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Information from complaint investigations may identify conduct that </w:t>
      </w:r>
      <w:r w:rsidR="005E26F3" w:rsidRPr="007536C3">
        <w:rPr>
          <w:rFonts w:ascii="Bookman Old Style" w:hAnsi="Bookman Old Style"/>
          <w:sz w:val="22"/>
          <w:szCs w:val="22"/>
        </w:rPr>
        <w:t>is not currently set out in this section of the rules</w:t>
      </w:r>
      <w:r w:rsidR="00926BAC" w:rsidRPr="007536C3">
        <w:rPr>
          <w:rFonts w:ascii="Bookman Old Style" w:hAnsi="Bookman Old Style"/>
          <w:sz w:val="22"/>
          <w:szCs w:val="22"/>
        </w:rPr>
        <w:t xml:space="preserve"> or is needed to clarify professional standards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The Board does not plan to use consensus-based rule development in proposing changes.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ANTICIPATED SCHEDULE: Within 1 year</w:t>
      </w:r>
      <w:r w:rsidR="00E25561" w:rsidRPr="007536C3">
        <w:rPr>
          <w:rFonts w:ascii="Bookman Old Style" w:hAnsi="Bookman Old Style"/>
          <w:sz w:val="22"/>
          <w:szCs w:val="22"/>
        </w:rPr>
        <w:t xml:space="preserve"> if necessary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proofErr w:type="gramStart"/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proofErr w:type="gramEnd"/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sectPr w:rsidR="002F2264" w:rsidRPr="007536C3">
      <w:footerReference w:type="default" r:id="rId7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3" w:rsidRDefault="007536C3" w:rsidP="007536C3">
      <w:r>
        <w:separator/>
      </w:r>
    </w:p>
  </w:endnote>
  <w:endnote w:type="continuationSeparator" w:id="0">
    <w:p w:rsidR="007536C3" w:rsidRDefault="007536C3" w:rsidP="007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C3" w:rsidRDefault="00753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6F4">
      <w:rPr>
        <w:noProof/>
      </w:rPr>
      <w:t>2</w:t>
    </w:r>
    <w:r>
      <w:rPr>
        <w:noProof/>
      </w:rPr>
      <w:fldChar w:fldCharType="end"/>
    </w:r>
  </w:p>
  <w:p w:rsidR="007536C3" w:rsidRDefault="00753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3" w:rsidRDefault="007536C3" w:rsidP="007536C3">
      <w:r>
        <w:separator/>
      </w:r>
    </w:p>
  </w:footnote>
  <w:footnote w:type="continuationSeparator" w:id="0">
    <w:p w:rsidR="007536C3" w:rsidRDefault="007536C3" w:rsidP="0075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8A"/>
    <w:rsid w:val="00083ABE"/>
    <w:rsid w:val="000A1B81"/>
    <w:rsid w:val="000D4BEB"/>
    <w:rsid w:val="000D7A0C"/>
    <w:rsid w:val="00187669"/>
    <w:rsid w:val="002255B9"/>
    <w:rsid w:val="0025366C"/>
    <w:rsid w:val="00295FF1"/>
    <w:rsid w:val="002F2264"/>
    <w:rsid w:val="003B3D2F"/>
    <w:rsid w:val="003D3EB6"/>
    <w:rsid w:val="00527FAD"/>
    <w:rsid w:val="005911CE"/>
    <w:rsid w:val="005E26F3"/>
    <w:rsid w:val="006036F4"/>
    <w:rsid w:val="0066698A"/>
    <w:rsid w:val="00690292"/>
    <w:rsid w:val="00740D35"/>
    <w:rsid w:val="007536C3"/>
    <w:rsid w:val="007C465E"/>
    <w:rsid w:val="007E0A7B"/>
    <w:rsid w:val="00824319"/>
    <w:rsid w:val="00851EC8"/>
    <w:rsid w:val="00926BAC"/>
    <w:rsid w:val="009313AC"/>
    <w:rsid w:val="00975A87"/>
    <w:rsid w:val="009C3DF0"/>
    <w:rsid w:val="00C24680"/>
    <w:rsid w:val="00CD6B5A"/>
    <w:rsid w:val="00CE05A2"/>
    <w:rsid w:val="00CF0099"/>
    <w:rsid w:val="00D004CE"/>
    <w:rsid w:val="00D80AD3"/>
    <w:rsid w:val="00DC032B"/>
    <w:rsid w:val="00E021E1"/>
    <w:rsid w:val="00E25561"/>
    <w:rsid w:val="00E2683C"/>
    <w:rsid w:val="00E40E04"/>
    <w:rsid w:val="00F345DB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5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6C3"/>
  </w:style>
  <w:style w:type="paragraph" w:styleId="Footer">
    <w:name w:val="footer"/>
    <w:basedOn w:val="Normal"/>
    <w:link w:val="FooterChar"/>
    <w:uiPriority w:val="99"/>
    <w:rsid w:val="0075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C3"/>
  </w:style>
  <w:style w:type="character" w:styleId="Hyperlink">
    <w:name w:val="Hyperlink"/>
    <w:rsid w:val="0075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L.Bivins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cpub\WPDATA\LEIGHTOC\ARCHSTUF\RegAgenda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RegAgenda00.dot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subject/>
  <dc:creator>Dir of MIS</dc:creator>
  <cp:keywords/>
  <dc:description/>
  <cp:lastModifiedBy>Don Wismer</cp:lastModifiedBy>
  <cp:revision>6</cp:revision>
  <cp:lastPrinted>2001-08-24T19:00:00Z</cp:lastPrinted>
  <dcterms:created xsi:type="dcterms:W3CDTF">2014-11-10T14:45:00Z</dcterms:created>
  <dcterms:modified xsi:type="dcterms:W3CDTF">2014-11-10T14:52:00Z</dcterms:modified>
</cp:coreProperties>
</file>