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68" w:rsidRPr="00D95068" w:rsidRDefault="00D95068" w:rsidP="00D95068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D95068">
        <w:rPr>
          <w:rFonts w:ascii="Bookman Old Style" w:hAnsi="Bookman Old Style"/>
          <w:b/>
          <w:sz w:val="22"/>
          <w:szCs w:val="22"/>
        </w:rPr>
        <w:t>02-041</w:t>
      </w:r>
    </w:p>
    <w:p w:rsidR="00D95068" w:rsidRDefault="00D95068" w:rsidP="00D95068">
      <w:pPr>
        <w:jc w:val="center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b/>
          <w:sz w:val="22"/>
          <w:szCs w:val="22"/>
        </w:rPr>
        <w:t>INTERPRETERS AND TRANSLITERATORS OF AMERICAN SIGN LANGUAGE</w:t>
      </w:r>
    </w:p>
    <w:p w:rsidR="004808DB" w:rsidRPr="00D95068" w:rsidRDefault="00D95068" w:rsidP="00D95068">
      <w:pPr>
        <w:jc w:val="center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2014-2015 Regulatory Agenda</w:t>
      </w:r>
    </w:p>
    <w:p w:rsidR="004808DB" w:rsidRPr="00D95068" w:rsidRDefault="00151D4F" w:rsidP="00D95068">
      <w:pPr>
        <w:jc w:val="center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August 1, 2014</w:t>
      </w:r>
    </w:p>
    <w:p w:rsidR="005939B5" w:rsidRPr="00D95068" w:rsidRDefault="005939B5" w:rsidP="00D95068">
      <w:pPr>
        <w:jc w:val="center"/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jc w:val="center"/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AGENCY UMBRELLA-UNIT NUMBER: </w:t>
      </w:r>
      <w:r w:rsidR="00D95068" w:rsidRPr="00D95068">
        <w:rPr>
          <w:rFonts w:ascii="Bookman Old Style" w:hAnsi="Bookman Old Style"/>
          <w:b/>
          <w:sz w:val="22"/>
          <w:szCs w:val="22"/>
        </w:rPr>
        <w:t>02-041</w:t>
      </w:r>
    </w:p>
    <w:p w:rsidR="004A1BEA" w:rsidRPr="00D95068" w:rsidRDefault="00D95068" w:rsidP="00D95068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</w:t>
      </w:r>
      <w:r w:rsidR="004A1BEA" w:rsidRPr="00D95068">
        <w:rPr>
          <w:rFonts w:ascii="Bookman Old Style" w:hAnsi="Bookman Old Style"/>
          <w:sz w:val="22"/>
          <w:szCs w:val="22"/>
        </w:rPr>
        <w:t>Department of Professional and Financial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4A1BEA" w:rsidRPr="00D95068">
        <w:rPr>
          <w:rFonts w:ascii="Bookman Old Style" w:hAnsi="Bookman Old Style"/>
          <w:sz w:val="22"/>
          <w:szCs w:val="22"/>
        </w:rPr>
        <w:t xml:space="preserve">Office of </w:t>
      </w:r>
      <w:r w:rsidR="009B7097" w:rsidRPr="00D95068">
        <w:rPr>
          <w:rFonts w:ascii="Bookman Old Style" w:hAnsi="Bookman Old Style"/>
          <w:sz w:val="22"/>
          <w:szCs w:val="22"/>
        </w:rPr>
        <w:t>Professional and Occupational Regulation</w:t>
      </w:r>
      <w:r>
        <w:rPr>
          <w:rFonts w:ascii="Bookman Old Style" w:hAnsi="Bookman Old Style"/>
          <w:sz w:val="22"/>
          <w:szCs w:val="22"/>
        </w:rPr>
        <w:t xml:space="preserve"> (OPOR), </w:t>
      </w:r>
      <w:r w:rsidR="004A1BEA" w:rsidRPr="00D95068">
        <w:rPr>
          <w:rFonts w:ascii="Bookman Old Style" w:hAnsi="Bookman Old Style"/>
          <w:b/>
          <w:sz w:val="22"/>
          <w:szCs w:val="22"/>
        </w:rPr>
        <w:t>Interpreters and Transliterators of American Sign Language and English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b/>
          <w:sz w:val="22"/>
          <w:szCs w:val="22"/>
        </w:rPr>
        <w:t>CONTACT PERSON</w:t>
      </w:r>
      <w:r w:rsidRPr="00D95068">
        <w:rPr>
          <w:rFonts w:ascii="Bookman Old Style" w:hAnsi="Bookman Old Style"/>
          <w:sz w:val="22"/>
          <w:szCs w:val="22"/>
        </w:rPr>
        <w:t xml:space="preserve">: </w:t>
      </w:r>
    </w:p>
    <w:p w:rsidR="00F740D2" w:rsidRPr="00D95068" w:rsidRDefault="00F740D2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Jennifer Hawk, Management Analyst</w:t>
      </w:r>
    </w:p>
    <w:p w:rsidR="00F740D2" w:rsidRPr="00D95068" w:rsidRDefault="00F740D2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35 State House Station</w:t>
      </w:r>
    </w:p>
    <w:p w:rsidR="00F740D2" w:rsidRPr="00D95068" w:rsidRDefault="00F740D2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Augusta, ME 04333</w:t>
      </w:r>
    </w:p>
    <w:p w:rsidR="00F740D2" w:rsidRPr="00D95068" w:rsidRDefault="00F740D2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Tel. 207/624-8617</w:t>
      </w:r>
    </w:p>
    <w:p w:rsidR="004A1BEA" w:rsidRPr="00D95068" w:rsidRDefault="00F740D2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E-mail: </w:t>
      </w:r>
      <w:hyperlink r:id="rId6" w:history="1">
        <w:r w:rsidR="001A5EFE" w:rsidRPr="00C7257D">
          <w:rPr>
            <w:rStyle w:val="Hyperlink"/>
            <w:rFonts w:ascii="Bookman Old Style" w:hAnsi="Bookman Old Style"/>
            <w:sz w:val="22"/>
            <w:szCs w:val="22"/>
          </w:rPr>
          <w:t>jennifer.m.hawk@maine.gov</w:t>
        </w:r>
      </w:hyperlink>
      <w:r w:rsidR="001A5EFE">
        <w:rPr>
          <w:rFonts w:ascii="Bookman Old Style" w:hAnsi="Bookman Old Style"/>
          <w:sz w:val="22"/>
          <w:szCs w:val="22"/>
        </w:rPr>
        <w:t xml:space="preserve"> 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D95068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D95068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B41C53" w:rsidRDefault="009B7097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b/>
          <w:sz w:val="22"/>
          <w:szCs w:val="22"/>
        </w:rPr>
        <w:t xml:space="preserve">EXPECTED </w:t>
      </w:r>
      <w:r w:rsidR="00282C05" w:rsidRPr="00D95068">
        <w:rPr>
          <w:rFonts w:ascii="Bookman Old Style" w:hAnsi="Bookman Old Style"/>
          <w:b/>
          <w:sz w:val="22"/>
          <w:szCs w:val="22"/>
        </w:rPr>
        <w:t>2014-2015</w:t>
      </w:r>
      <w:r w:rsidR="004808DB" w:rsidRPr="00D95068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4F31BA" w:rsidRPr="00D95068">
        <w:rPr>
          <w:rFonts w:ascii="Bookman Old Style" w:hAnsi="Bookman Old Style"/>
          <w:sz w:val="22"/>
          <w:szCs w:val="22"/>
        </w:rPr>
        <w:t xml:space="preserve"> 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4A1BEA" w:rsidRPr="001A5EFE" w:rsidRDefault="00B41C53" w:rsidP="00D9506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50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CHAPTER TITLE: Definitions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STATUTORY BASIS</w:t>
      </w:r>
      <w:r w:rsidR="00EE69D6" w:rsidRPr="00D95068">
        <w:rPr>
          <w:rFonts w:ascii="Bookman Old Style" w:hAnsi="Bookman Old Style"/>
          <w:sz w:val="22"/>
          <w:szCs w:val="22"/>
        </w:rPr>
        <w:t>: 32 M.R.S.</w:t>
      </w:r>
      <w:r w:rsidRPr="00D95068">
        <w:rPr>
          <w:rFonts w:ascii="Bookman Old Style" w:hAnsi="Bookman Old Style"/>
          <w:sz w:val="22"/>
          <w:szCs w:val="22"/>
        </w:rPr>
        <w:t xml:space="preserve"> §1522(1)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This chapter defines certain terms used in these rules. </w:t>
      </w:r>
      <w:r w:rsidR="00A537A6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SCHEDULE FOR ADOPTION: </w:t>
      </w:r>
      <w:r w:rsidR="009B7097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95068">
        <w:rPr>
          <w:rFonts w:ascii="Bookman Old Style" w:hAnsi="Bookman Old Style"/>
          <w:sz w:val="22"/>
          <w:szCs w:val="22"/>
        </w:rPr>
        <w:t>AFFECTED PARTIES: Applicants, licensees and members of the public.</w:t>
      </w:r>
      <w:proofErr w:type="gramEnd"/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CONSENSUS-BASED RULE DEVELOPMENT: Not as per 5 M</w:t>
      </w:r>
      <w:r w:rsidR="00571738" w:rsidRPr="00D95068">
        <w:rPr>
          <w:rFonts w:ascii="Bookman Old Style" w:hAnsi="Bookman Old Style"/>
          <w:sz w:val="22"/>
          <w:szCs w:val="22"/>
        </w:rPr>
        <w:t>.R.S.</w:t>
      </w:r>
      <w:r w:rsidRPr="00D95068">
        <w:rPr>
          <w:rFonts w:ascii="Bookman Old Style" w:hAnsi="Bookman Old Style"/>
          <w:sz w:val="22"/>
          <w:szCs w:val="22"/>
        </w:rPr>
        <w:t xml:space="preserve"> §8051-B,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</w:t>
      </w:r>
      <w:r w:rsidRPr="00D95068">
        <w:rPr>
          <w:rFonts w:ascii="Bookman Old Style" w:hAnsi="Bookman Old Style"/>
          <w:sz w:val="22"/>
          <w:szCs w:val="22"/>
        </w:rPr>
        <w:t xml:space="preserve"> §1522(4).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1A5EFE" w:rsidRDefault="00B41C53" w:rsidP="00D9506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51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CHAPTER TITLE: Requirements for Initial Licensure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§1522(1)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This chapter sets forth criteria for the initial licensure of interpreters/transliterators and describes the application process.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SCHEDULE FOR ADOPTION: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 w:cs="Times New Roman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95068">
        <w:rPr>
          <w:rFonts w:ascii="Bookman Old Style" w:hAnsi="Bookman Old Style"/>
          <w:sz w:val="22"/>
          <w:szCs w:val="22"/>
        </w:rPr>
        <w:t>AFFECTED PARTIES: Applicants for licensure.</w:t>
      </w:r>
      <w:proofErr w:type="gramEnd"/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1A5EFE" w:rsidRDefault="00B41C53" w:rsidP="00D9506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</w:t>
      </w:r>
      <w:r w:rsidR="001A5EFE" w:rsidRPr="001A5EFE">
        <w:rPr>
          <w:rFonts w:ascii="Bookman Old Style" w:hAnsi="Bookman Old Style"/>
          <w:b/>
          <w:sz w:val="22"/>
          <w:szCs w:val="22"/>
        </w:rPr>
        <w:t>2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CHAPTER TITLE: License Renewal and Continuing Education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STATUTORY BASIS:</w:t>
      </w:r>
      <w:r w:rsidR="001A5EFE">
        <w:rPr>
          <w:rFonts w:ascii="Bookman Old Style" w:hAnsi="Bookman Old Style"/>
          <w:sz w:val="22"/>
          <w:szCs w:val="22"/>
        </w:rPr>
        <w:t xml:space="preserve">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§1522(1)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 xml:space="preserve">PURPOSE: This chapter sets forth continuing education requirements and describes the license renewal process.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SCHEDULE FOR ADOPTION: </w:t>
      </w:r>
      <w:r w:rsidR="009B7097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95068">
        <w:rPr>
          <w:rFonts w:ascii="Bookman Old Style" w:hAnsi="Bookman Old Style"/>
          <w:sz w:val="22"/>
          <w:szCs w:val="22"/>
        </w:rPr>
        <w:lastRenderedPageBreak/>
        <w:t>AFFECTED PARTIES: Licensees.</w:t>
      </w:r>
      <w:proofErr w:type="gramEnd"/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CONSENSUS-BASED RULE DEVELOPMENT: Not as per 5 M</w:t>
      </w:r>
      <w:r w:rsidR="00547045" w:rsidRPr="00D95068">
        <w:rPr>
          <w:rFonts w:ascii="Bookman Old Style" w:hAnsi="Bookman Old Style"/>
          <w:sz w:val="22"/>
          <w:szCs w:val="22"/>
        </w:rPr>
        <w:t>.R.S.</w:t>
      </w:r>
      <w:r w:rsidRPr="00D95068">
        <w:rPr>
          <w:rFonts w:ascii="Bookman Old Style" w:hAnsi="Bookman Old Style"/>
          <w:sz w:val="22"/>
          <w:szCs w:val="22"/>
        </w:rPr>
        <w:t xml:space="preserve"> §8051-B,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1A5EFE" w:rsidRDefault="00B41C53" w:rsidP="00D9506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54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CHAPTER TITLE: Disclosure Statement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 xml:space="preserve">32 M.R.S. </w:t>
      </w:r>
      <w:r w:rsidRPr="00D95068">
        <w:rPr>
          <w:rFonts w:ascii="Bookman Old Style" w:hAnsi="Bookman Old Style"/>
          <w:sz w:val="22"/>
          <w:szCs w:val="22"/>
        </w:rPr>
        <w:t>§§</w:t>
      </w:r>
      <w:r w:rsidR="001A5EFE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1522(1), 1531</w:t>
      </w:r>
    </w:p>
    <w:p w:rsidR="00AA47E3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 xml:space="preserve">PURPOSE: This chapter describes the statutory disclosure to be furnished by interpreters and transliterators to consumers and clients.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</w:t>
      </w:r>
      <w:r w:rsidR="00AA47E3" w:rsidRPr="00D95068">
        <w:rPr>
          <w:rFonts w:ascii="Bookman Old Style" w:hAnsi="Bookman Old Style" w:cs="Times New Roman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ANTICIPATED SCHEDULE: </w:t>
      </w:r>
      <w:r w:rsidR="00B5193D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  <w:r w:rsidR="00114AA8" w:rsidRPr="00D95068">
        <w:rPr>
          <w:rFonts w:ascii="Bookman Old Style" w:hAnsi="Bookman Old Style"/>
          <w:sz w:val="22"/>
          <w:szCs w:val="22"/>
        </w:rPr>
        <w:br/>
      </w:r>
      <w:proofErr w:type="gramStart"/>
      <w:r w:rsidRPr="00D95068">
        <w:rPr>
          <w:rFonts w:ascii="Bookman Old Style" w:hAnsi="Bookman Old Style"/>
          <w:sz w:val="22"/>
          <w:szCs w:val="22"/>
        </w:rPr>
        <w:t>AFFECTED PARTIES: Licensees and members of the public.</w:t>
      </w:r>
      <w:proofErr w:type="gramEnd"/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47045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§8051-B, but through the advisory council established pursuant to 32 </w:t>
      </w:r>
      <w:r w:rsidR="00547045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1A5EFE" w:rsidRDefault="00B41C53" w:rsidP="00D9506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55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CHAPTER TITLE: Complaints and Investigations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§1522(1)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This chapter </w:t>
      </w:r>
      <w:r w:rsidR="005939B5" w:rsidRPr="00D95068">
        <w:rPr>
          <w:rFonts w:ascii="Bookman Old Style" w:hAnsi="Bookman Old Style" w:cs="Times New Roman"/>
          <w:sz w:val="22"/>
          <w:szCs w:val="22"/>
        </w:rPr>
        <w:t xml:space="preserve">sets forth the rights of an applicant or licensee to appeal certain regulatory actions and identifies the enforcement and disciplinary procedure used by the director.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ANTICIPATED SCHEDULE: </w:t>
      </w:r>
      <w:r w:rsidR="00B5193D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95068">
        <w:rPr>
          <w:rFonts w:ascii="Bookman Old Style" w:hAnsi="Bookman Old Style"/>
          <w:sz w:val="22"/>
          <w:szCs w:val="22"/>
        </w:rPr>
        <w:t xml:space="preserve">AFFECTED PARTIES: Licensees and </w:t>
      </w:r>
      <w:r w:rsidR="00D26136" w:rsidRPr="00D95068">
        <w:rPr>
          <w:rFonts w:ascii="Bookman Old Style" w:hAnsi="Bookman Old Style"/>
          <w:sz w:val="22"/>
          <w:szCs w:val="22"/>
        </w:rPr>
        <w:t xml:space="preserve">members of the </w:t>
      </w:r>
      <w:r w:rsidRPr="00D95068">
        <w:rPr>
          <w:rFonts w:ascii="Bookman Old Style" w:hAnsi="Bookman Old Style"/>
          <w:sz w:val="22"/>
          <w:szCs w:val="22"/>
        </w:rPr>
        <w:t>public.</w:t>
      </w:r>
      <w:proofErr w:type="gramEnd"/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§1522(4).</w:t>
      </w:r>
    </w:p>
    <w:p w:rsidR="007713D7" w:rsidRPr="00D95068" w:rsidRDefault="007713D7" w:rsidP="00D95068">
      <w:pPr>
        <w:rPr>
          <w:rFonts w:ascii="Bookman Old Style" w:hAnsi="Bookman Old Style"/>
          <w:sz w:val="22"/>
          <w:szCs w:val="22"/>
        </w:rPr>
      </w:pPr>
    </w:p>
    <w:sectPr w:rsidR="007713D7" w:rsidRPr="00D95068">
      <w:footerReference w:type="default" r:id="rId7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FE" w:rsidRDefault="001A5EFE" w:rsidP="001A5EFE">
      <w:r>
        <w:separator/>
      </w:r>
    </w:p>
  </w:endnote>
  <w:endnote w:type="continuationSeparator" w:id="0">
    <w:p w:rsidR="001A5EFE" w:rsidRDefault="001A5EFE" w:rsidP="001A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FE" w:rsidRDefault="001A5E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A5EFE" w:rsidRDefault="001A5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FE" w:rsidRDefault="001A5EFE" w:rsidP="001A5EFE">
      <w:r>
        <w:separator/>
      </w:r>
    </w:p>
  </w:footnote>
  <w:footnote w:type="continuationSeparator" w:id="0">
    <w:p w:rsidR="001A5EFE" w:rsidRDefault="001A5EFE" w:rsidP="001A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EA"/>
    <w:rsid w:val="0003128E"/>
    <w:rsid w:val="0003685E"/>
    <w:rsid w:val="0006741A"/>
    <w:rsid w:val="00114AA8"/>
    <w:rsid w:val="00127A97"/>
    <w:rsid w:val="001365FC"/>
    <w:rsid w:val="00151D4F"/>
    <w:rsid w:val="00153906"/>
    <w:rsid w:val="001A5EFE"/>
    <w:rsid w:val="002161E0"/>
    <w:rsid w:val="00267FC8"/>
    <w:rsid w:val="00282C05"/>
    <w:rsid w:val="0034659D"/>
    <w:rsid w:val="003C0590"/>
    <w:rsid w:val="004774C1"/>
    <w:rsid w:val="004808DB"/>
    <w:rsid w:val="00495ED7"/>
    <w:rsid w:val="004A1BEA"/>
    <w:rsid w:val="004C49B1"/>
    <w:rsid w:val="004F31BA"/>
    <w:rsid w:val="00547045"/>
    <w:rsid w:val="00571738"/>
    <w:rsid w:val="005939B5"/>
    <w:rsid w:val="005F2AC6"/>
    <w:rsid w:val="005F5582"/>
    <w:rsid w:val="007713D7"/>
    <w:rsid w:val="007E4257"/>
    <w:rsid w:val="008315C3"/>
    <w:rsid w:val="0085348E"/>
    <w:rsid w:val="009B7097"/>
    <w:rsid w:val="00A16E10"/>
    <w:rsid w:val="00A537A6"/>
    <w:rsid w:val="00A6465A"/>
    <w:rsid w:val="00AA47E3"/>
    <w:rsid w:val="00B41C53"/>
    <w:rsid w:val="00B5193D"/>
    <w:rsid w:val="00C0118A"/>
    <w:rsid w:val="00C85276"/>
    <w:rsid w:val="00CE4457"/>
    <w:rsid w:val="00D26136"/>
    <w:rsid w:val="00D572D1"/>
    <w:rsid w:val="00D95068"/>
    <w:rsid w:val="00DB24B8"/>
    <w:rsid w:val="00DE5320"/>
    <w:rsid w:val="00E037B4"/>
    <w:rsid w:val="00E153BE"/>
    <w:rsid w:val="00E233F1"/>
    <w:rsid w:val="00E53B00"/>
    <w:rsid w:val="00E66A79"/>
    <w:rsid w:val="00EE69D6"/>
    <w:rsid w:val="00F37341"/>
    <w:rsid w:val="00F73114"/>
    <w:rsid w:val="00F740D2"/>
    <w:rsid w:val="00F9747A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BE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4A1BEA"/>
    <w:rPr>
      <w:sz w:val="24"/>
    </w:rPr>
  </w:style>
  <w:style w:type="paragraph" w:customStyle="1" w:styleId="RuleSummary">
    <w:name w:val="Rule Summary"/>
    <w:basedOn w:val="Normal"/>
    <w:rsid w:val="004A1BEA"/>
    <w:pPr>
      <w:tabs>
        <w:tab w:val="left" w:pos="-720"/>
      </w:tabs>
      <w:spacing w:after="240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D26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5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EFE"/>
  </w:style>
  <w:style w:type="paragraph" w:styleId="Footer">
    <w:name w:val="footer"/>
    <w:basedOn w:val="Normal"/>
    <w:link w:val="FooterChar"/>
    <w:uiPriority w:val="99"/>
    <w:rsid w:val="001A5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EFE"/>
  </w:style>
  <w:style w:type="character" w:styleId="Hyperlink">
    <w:name w:val="Hyperlink"/>
    <w:rsid w:val="001A5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m.hawk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REGULATORY AGENDA</vt:lpstr>
    </vt:vector>
  </TitlesOfParts>
  <Company>Dept of Professional and Financial Regulation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REGULATORY AGENDA</dc:title>
  <dc:subject/>
  <dc:creator>Elaine.M.Thibodeau</dc:creator>
  <cp:keywords/>
  <cp:lastModifiedBy>Don Wismer</cp:lastModifiedBy>
  <cp:revision>5</cp:revision>
  <cp:lastPrinted>2010-07-14T16:26:00Z</cp:lastPrinted>
  <dcterms:created xsi:type="dcterms:W3CDTF">2014-11-06T17:36:00Z</dcterms:created>
  <dcterms:modified xsi:type="dcterms:W3CDTF">2014-11-06T17:43:00Z</dcterms:modified>
</cp:coreProperties>
</file>